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4287"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7D3AD8C1" w14:textId="77777777" w:rsidTr="005F7F7E">
        <w:trPr>
          <w:gridAfter w:val="1"/>
          <w:wAfter w:w="11" w:type="dxa"/>
        </w:trPr>
        <w:tc>
          <w:tcPr>
            <w:tcW w:w="2438" w:type="dxa"/>
            <w:gridSpan w:val="3"/>
            <w:shd w:val="clear" w:color="auto" w:fill="auto"/>
          </w:tcPr>
          <w:p w14:paraId="6750EDB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26BB5F11" w14:textId="77777777" w:rsidR="00F445B1" w:rsidRPr="00F95BC9" w:rsidRDefault="00DB7AD7" w:rsidP="004A6D2F">
            <w:pPr>
              <w:rPr>
                <w:rStyle w:val="Firstpagetablebold"/>
              </w:rPr>
            </w:pPr>
            <w:r>
              <w:rPr>
                <w:rStyle w:val="Firstpagetablebold"/>
              </w:rPr>
              <w:t>Cabinet</w:t>
            </w:r>
          </w:p>
        </w:tc>
      </w:tr>
      <w:tr w:rsidR="00CE544A" w:rsidRPr="00975B07" w14:paraId="40FDCC8D" w14:textId="77777777" w:rsidTr="005F7F7E">
        <w:trPr>
          <w:gridAfter w:val="1"/>
          <w:wAfter w:w="11" w:type="dxa"/>
        </w:trPr>
        <w:tc>
          <w:tcPr>
            <w:tcW w:w="2438" w:type="dxa"/>
            <w:gridSpan w:val="3"/>
            <w:shd w:val="clear" w:color="auto" w:fill="auto"/>
          </w:tcPr>
          <w:p w14:paraId="559A4C3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1B69B2D1" w14:textId="77777777" w:rsidR="00F445B1" w:rsidRPr="001356F1" w:rsidRDefault="0037187C" w:rsidP="005D0621">
            <w:pPr>
              <w:rPr>
                <w:b/>
              </w:rPr>
            </w:pPr>
            <w:r>
              <w:rPr>
                <w:rStyle w:val="Firstpagetablebold"/>
              </w:rPr>
              <w:t>15 July 2020</w:t>
            </w:r>
          </w:p>
        </w:tc>
      </w:tr>
      <w:tr w:rsidR="00CE544A" w:rsidRPr="00975B07" w14:paraId="3504FF7D" w14:textId="77777777" w:rsidTr="005F7F7E">
        <w:trPr>
          <w:gridAfter w:val="1"/>
          <w:wAfter w:w="11" w:type="dxa"/>
        </w:trPr>
        <w:tc>
          <w:tcPr>
            <w:tcW w:w="2438" w:type="dxa"/>
            <w:gridSpan w:val="3"/>
            <w:shd w:val="clear" w:color="auto" w:fill="auto"/>
          </w:tcPr>
          <w:p w14:paraId="639D01C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195A3737" w14:textId="77777777" w:rsidR="00F445B1" w:rsidRPr="001356F1" w:rsidRDefault="00FD1DFA" w:rsidP="0037187C">
            <w:pPr>
              <w:rPr>
                <w:rStyle w:val="Firstpagetablebold"/>
              </w:rPr>
            </w:pPr>
            <w:r w:rsidRPr="001356F1">
              <w:rPr>
                <w:rStyle w:val="Firstpagetablebold"/>
              </w:rPr>
              <w:t xml:space="preserve">Executive Director </w:t>
            </w:r>
            <w:r w:rsidR="0037187C">
              <w:rPr>
                <w:rStyle w:val="Firstpagetablebold"/>
              </w:rPr>
              <w:t>(Development)</w:t>
            </w:r>
          </w:p>
        </w:tc>
      </w:tr>
      <w:tr w:rsidR="00CE544A" w:rsidRPr="00975B07" w14:paraId="5E27D563" w14:textId="77777777" w:rsidTr="005F7F7E">
        <w:trPr>
          <w:gridAfter w:val="1"/>
          <w:wAfter w:w="11" w:type="dxa"/>
        </w:trPr>
        <w:tc>
          <w:tcPr>
            <w:tcW w:w="2438" w:type="dxa"/>
            <w:gridSpan w:val="3"/>
            <w:shd w:val="clear" w:color="auto" w:fill="auto"/>
          </w:tcPr>
          <w:p w14:paraId="1BCA355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5F1DA445" w14:textId="77777777" w:rsidR="00F445B1" w:rsidRDefault="0037187C" w:rsidP="004A6D2F">
            <w:pPr>
              <w:rPr>
                <w:rStyle w:val="Firstpagetablebold"/>
              </w:rPr>
            </w:pPr>
            <w:r>
              <w:rPr>
                <w:rStyle w:val="Firstpagetablebold"/>
              </w:rPr>
              <w:t>Local Growth Funded Workspace Projects, 1-3 George Street</w:t>
            </w:r>
            <w:r w:rsidR="006865E3">
              <w:rPr>
                <w:rStyle w:val="Firstpagetablebold"/>
              </w:rPr>
              <w:t xml:space="preserve"> and </w:t>
            </w:r>
            <w:proofErr w:type="spellStart"/>
            <w:r w:rsidR="006865E3">
              <w:rPr>
                <w:rStyle w:val="Firstpagetablebold"/>
              </w:rPr>
              <w:t>Standingford</w:t>
            </w:r>
            <w:proofErr w:type="spellEnd"/>
            <w:r w:rsidR="006865E3">
              <w:rPr>
                <w:rStyle w:val="Firstpagetablebold"/>
              </w:rPr>
              <w:t xml:space="preserve"> House, Cave Street</w:t>
            </w:r>
          </w:p>
          <w:p w14:paraId="376CA5F7" w14:textId="77777777" w:rsidR="00CE2C77" w:rsidRPr="001356F1" w:rsidRDefault="00CE2C77" w:rsidP="004A6D2F">
            <w:pPr>
              <w:rPr>
                <w:rStyle w:val="Firstpagetablebold"/>
              </w:rPr>
            </w:pPr>
          </w:p>
        </w:tc>
      </w:tr>
      <w:tr w:rsidR="00D5547E" w14:paraId="0CCCD6E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528D2B8E" w14:textId="0E05FA0F" w:rsidR="00D5547E" w:rsidRDefault="00523FE1" w:rsidP="00745BF0">
            <w:pPr>
              <w:jc w:val="center"/>
              <w:rPr>
                <w:rStyle w:val="Firstpagetablebold"/>
              </w:rPr>
            </w:pPr>
            <w:r>
              <w:rPr>
                <w:rStyle w:val="Firstpagetablebold"/>
              </w:rPr>
              <w:t>Su</w:t>
            </w:r>
            <w:r w:rsidR="00745BF0">
              <w:rPr>
                <w:rStyle w:val="Firstpagetablebold"/>
              </w:rPr>
              <w:t>mmary and r</w:t>
            </w:r>
            <w:r w:rsidR="00D5547E">
              <w:rPr>
                <w:rStyle w:val="Firstpagetablebold"/>
              </w:rPr>
              <w:t>ecommendations</w:t>
            </w:r>
          </w:p>
        </w:tc>
      </w:tr>
      <w:tr w:rsidR="00D5547E" w14:paraId="1FC72290"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295D4079"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797F32A7" w14:textId="77777777" w:rsidR="00D5547E" w:rsidRPr="001356F1" w:rsidRDefault="0037187C" w:rsidP="00323ECA">
            <w:r w:rsidRPr="0037187C">
              <w:t>To seek approval to</w:t>
            </w:r>
            <w:r w:rsidR="00B811F9" w:rsidRPr="0037187C">
              <w:t xml:space="preserve"> enter int</w:t>
            </w:r>
            <w:r w:rsidR="003D078E">
              <w:t>o a £1.93m Funding Agreement</w:t>
            </w:r>
            <w:r w:rsidR="00B811F9" w:rsidRPr="0037187C">
              <w:t xml:space="preserve"> with Oxfordshire Local Enterprise Partnership for Local Growth Funding</w:t>
            </w:r>
            <w:r w:rsidR="00B811F9">
              <w:t xml:space="preserve"> to</w:t>
            </w:r>
            <w:r w:rsidR="00B811F9" w:rsidRPr="0037187C">
              <w:t xml:space="preserve"> </w:t>
            </w:r>
            <w:r w:rsidR="003D078E">
              <w:t xml:space="preserve">support </w:t>
            </w:r>
            <w:r w:rsidR="00B811F9" w:rsidRPr="0037187C">
              <w:t xml:space="preserve">the </w:t>
            </w:r>
            <w:r w:rsidR="00B811F9">
              <w:t xml:space="preserve">refurbishment of </w:t>
            </w:r>
            <w:r w:rsidR="00B811F9" w:rsidRPr="0037187C">
              <w:t>1-3 George Street</w:t>
            </w:r>
            <w:r w:rsidR="00B811F9">
              <w:t xml:space="preserve"> and </w:t>
            </w:r>
            <w:r w:rsidR="003D078E">
              <w:t xml:space="preserve">redevelopment of </w:t>
            </w:r>
            <w:proofErr w:type="spellStart"/>
            <w:r w:rsidR="00B811F9">
              <w:t>Standingford</w:t>
            </w:r>
            <w:proofErr w:type="spellEnd"/>
            <w:r w:rsidR="00B811F9">
              <w:t xml:space="preserve"> House on Cave Street</w:t>
            </w:r>
            <w:r w:rsidR="00E66D2D">
              <w:t xml:space="preserve"> to provide affordable and innovative workspace to </w:t>
            </w:r>
            <w:r w:rsidR="00323ECA">
              <w:t>facilitate</w:t>
            </w:r>
            <w:r w:rsidR="00E66D2D">
              <w:t xml:space="preserve"> the inclusive economy</w:t>
            </w:r>
            <w:r w:rsidR="00B811F9">
              <w:t xml:space="preserve">. </w:t>
            </w:r>
          </w:p>
        </w:tc>
      </w:tr>
      <w:tr w:rsidR="00D5547E" w14:paraId="591C913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585A563"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63268DD8" w14:textId="77777777" w:rsidR="00D5547E" w:rsidRPr="001356F1" w:rsidRDefault="00D5547E" w:rsidP="00ED3534">
            <w:r w:rsidRPr="001356F1">
              <w:t xml:space="preserve">Yes </w:t>
            </w:r>
          </w:p>
        </w:tc>
      </w:tr>
      <w:tr w:rsidR="00D5547E" w14:paraId="615BA085"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7FC3E47"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62EE0C52" w14:textId="77777777" w:rsidR="00D5547E" w:rsidRPr="001356F1" w:rsidRDefault="000522D6" w:rsidP="000522D6">
            <w:r w:rsidRPr="000522D6">
              <w:t>C</w:t>
            </w:r>
            <w:r>
              <w:t>ouncillo</w:t>
            </w:r>
            <w:r w:rsidRPr="000522D6">
              <w:t>r Susan Brown, Economic Development</w:t>
            </w:r>
            <w:r>
              <w:t xml:space="preserve">, </w:t>
            </w:r>
            <w:r w:rsidRPr="000522D6">
              <w:t xml:space="preserve"> </w:t>
            </w:r>
            <w:r w:rsidR="00D5547E" w:rsidRPr="001356F1">
              <w:t xml:space="preserve">Councillor </w:t>
            </w:r>
            <w:r w:rsidR="0037187C" w:rsidRPr="0037187C">
              <w:t>Ed Turner, Finance and Asset Management</w:t>
            </w:r>
          </w:p>
        </w:tc>
      </w:tr>
      <w:tr w:rsidR="0080749A" w14:paraId="1E3D0AC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1329FC64"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4CC43549" w14:textId="77777777" w:rsidR="0080749A" w:rsidRPr="001356F1" w:rsidRDefault="0037187C" w:rsidP="005F7F7E">
            <w:r w:rsidRPr="0037187C">
              <w:t>Vibrant and Sustainable Economy</w:t>
            </w:r>
          </w:p>
        </w:tc>
      </w:tr>
      <w:tr w:rsidR="00D5547E" w14:paraId="018CF1EE"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26D29B21"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789614FB" w14:textId="77777777" w:rsidR="0037187C" w:rsidRPr="0037187C" w:rsidRDefault="0037187C" w:rsidP="0037187C">
            <w:pPr>
              <w:rPr>
                <w:i/>
              </w:rPr>
            </w:pPr>
            <w:r w:rsidRPr="0037187C">
              <w:rPr>
                <w:i/>
              </w:rPr>
              <w:t>Vibrant and Sustainable Economy:</w:t>
            </w:r>
          </w:p>
          <w:p w14:paraId="30AFD2C7" w14:textId="77777777" w:rsidR="0037187C" w:rsidRDefault="0037187C" w:rsidP="0037187C">
            <w:pPr>
              <w:ind w:left="289" w:hanging="289"/>
            </w:pPr>
            <w:r>
              <w:t>-</w:t>
            </w:r>
            <w:r>
              <w:tab/>
              <w:t>Development in and around the city will enable businesses and organisations to locate, start and grow locally</w:t>
            </w:r>
          </w:p>
          <w:p w14:paraId="6435DDDA" w14:textId="77777777" w:rsidR="00D5547E" w:rsidRPr="001356F1" w:rsidRDefault="0037187C" w:rsidP="0037187C">
            <w:pPr>
              <w:ind w:left="289" w:hanging="289"/>
            </w:pPr>
            <w:r>
              <w:t>-</w:t>
            </w:r>
            <w:r>
              <w:tab/>
              <w:t>Oxford will be a centre of world-leading technology and business innovation with growth and increased investment in enterprise and the knowledge economy</w:t>
            </w:r>
          </w:p>
        </w:tc>
      </w:tr>
      <w:tr w:rsidR="005F7F7E" w:rsidRPr="00975B07" w14:paraId="3CF61892" w14:textId="77777777" w:rsidTr="00E657D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1729E2FF" w14:textId="5872A5EF" w:rsidR="005F7F7E" w:rsidRPr="00975B07" w:rsidRDefault="004A2943" w:rsidP="004A2943">
            <w:proofErr w:type="spellStart"/>
            <w:r>
              <w:rPr>
                <w:rStyle w:val="Firstpagetablebold"/>
              </w:rPr>
              <w:t>Recommendation</w:t>
            </w:r>
            <w:r w:rsidR="005F7F7E">
              <w:rPr>
                <w:rStyle w:val="Firstpagetablebold"/>
              </w:rPr>
              <w:t>:</w:t>
            </w:r>
            <w:r w:rsidR="005F7F7E" w:rsidRPr="004A2943">
              <w:rPr>
                <w:rStyle w:val="Firstpagetablebold"/>
                <w:b w:val="0"/>
              </w:rPr>
              <w:t>That</w:t>
            </w:r>
            <w:proofErr w:type="spellEnd"/>
            <w:r w:rsidR="005F7F7E" w:rsidRPr="004A2943">
              <w:rPr>
                <w:rStyle w:val="Firstpagetablebold"/>
                <w:b w:val="0"/>
              </w:rPr>
              <w:t xml:space="preserve"> </w:t>
            </w:r>
            <w:r w:rsidR="00DB7AD7" w:rsidRPr="004A2943">
              <w:rPr>
                <w:rStyle w:val="Firstpagetablebold"/>
                <w:b w:val="0"/>
              </w:rPr>
              <w:t>Cabinet</w:t>
            </w:r>
            <w:r w:rsidR="005F7F7E" w:rsidRPr="004A2943">
              <w:rPr>
                <w:rStyle w:val="Firstpagetablebold"/>
                <w:b w:val="0"/>
              </w:rPr>
              <w:t xml:space="preserve"> resolves to:</w:t>
            </w:r>
          </w:p>
        </w:tc>
      </w:tr>
      <w:tr w:rsidR="0030208D" w:rsidRPr="00975B07" w14:paraId="1DB46DAD" w14:textId="77777777" w:rsidTr="00E657D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single" w:sz="8" w:space="0" w:color="000000"/>
              <w:right w:val="nil"/>
            </w:tcBorders>
          </w:tcPr>
          <w:p w14:paraId="48196667" w14:textId="77777777" w:rsidR="0030208D" w:rsidRPr="00975B07" w:rsidRDefault="00046D2B" w:rsidP="004A6D2F">
            <w:r w:rsidRPr="00975B07">
              <w:t>1.</w:t>
            </w:r>
          </w:p>
        </w:tc>
        <w:tc>
          <w:tcPr>
            <w:tcW w:w="8419" w:type="dxa"/>
            <w:gridSpan w:val="4"/>
            <w:tcBorders>
              <w:top w:val="single" w:sz="8" w:space="0" w:color="000000"/>
              <w:left w:val="nil"/>
              <w:bottom w:val="single" w:sz="8" w:space="0" w:color="000000"/>
              <w:right w:val="single" w:sz="8" w:space="0" w:color="000000"/>
            </w:tcBorders>
            <w:shd w:val="clear" w:color="auto" w:fill="auto"/>
          </w:tcPr>
          <w:p w14:paraId="117A58FC" w14:textId="77777777" w:rsidR="0030208D" w:rsidRPr="001356F1" w:rsidRDefault="0037187C" w:rsidP="0037187C">
            <w:r w:rsidRPr="0037187C">
              <w:rPr>
                <w:rStyle w:val="Firstpagetablebold"/>
              </w:rPr>
              <w:t xml:space="preserve">Delegate authority </w:t>
            </w:r>
            <w:r w:rsidRPr="0037187C">
              <w:rPr>
                <w:rStyle w:val="Firstpagetablebold"/>
                <w:b w:val="0"/>
              </w:rPr>
              <w:t>to the Executive Director Development, in consultation with the Council’s Section 151 Officer</w:t>
            </w:r>
            <w:r w:rsidR="006B1E6B">
              <w:rPr>
                <w:rStyle w:val="Firstpagetablebold"/>
                <w:b w:val="0"/>
              </w:rPr>
              <w:t xml:space="preserve"> and</w:t>
            </w:r>
            <w:r w:rsidRPr="0037187C">
              <w:rPr>
                <w:rStyle w:val="Firstpagetablebold"/>
                <w:b w:val="0"/>
              </w:rPr>
              <w:t xml:space="preserve"> the Head of Law and Governance to agree and enter into grant funding arrangements and contractual terms with </w:t>
            </w:r>
            <w:proofErr w:type="spellStart"/>
            <w:r w:rsidRPr="0037187C">
              <w:rPr>
                <w:rStyle w:val="Firstpagetablebold"/>
                <w:b w:val="0"/>
              </w:rPr>
              <w:t>OxLEP</w:t>
            </w:r>
            <w:proofErr w:type="spellEnd"/>
            <w:r w:rsidRPr="0037187C">
              <w:rPr>
                <w:rStyle w:val="Firstpagetablebold"/>
                <w:b w:val="0"/>
              </w:rPr>
              <w:t xml:space="preserve"> for £1.93m in Local Growth Funds for the delivery of city-centre based workspaces</w:t>
            </w:r>
            <w:r w:rsidR="00B811F9">
              <w:rPr>
                <w:rStyle w:val="Firstpagetablebold"/>
                <w:b w:val="0"/>
              </w:rPr>
              <w:t xml:space="preserve"> at 1-3 George Street and </w:t>
            </w:r>
            <w:proofErr w:type="spellStart"/>
            <w:r w:rsidR="00B811F9">
              <w:rPr>
                <w:rStyle w:val="Firstpagetablebold"/>
                <w:b w:val="0"/>
              </w:rPr>
              <w:t>Standingford</w:t>
            </w:r>
            <w:proofErr w:type="spellEnd"/>
            <w:r w:rsidR="00B811F9">
              <w:rPr>
                <w:rStyle w:val="Firstpagetablebold"/>
                <w:b w:val="0"/>
              </w:rPr>
              <w:t xml:space="preserve"> House, Cave Street. </w:t>
            </w:r>
          </w:p>
        </w:tc>
      </w:tr>
    </w:tbl>
    <w:p w14:paraId="1B9C8817" w14:textId="77777777" w:rsidR="00CE2C77" w:rsidRPr="009E51FC" w:rsidRDefault="00CE2C7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004731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0FDB48E" w14:textId="77777777" w:rsidR="00966D42" w:rsidRPr="00975B07" w:rsidRDefault="00966D42" w:rsidP="00263EA3">
            <w:pPr>
              <w:jc w:val="center"/>
            </w:pPr>
            <w:r w:rsidRPr="00745BF0">
              <w:rPr>
                <w:rStyle w:val="Firstpagetablebold"/>
              </w:rPr>
              <w:t>Appendices</w:t>
            </w:r>
          </w:p>
        </w:tc>
      </w:tr>
      <w:tr w:rsidR="0030208D" w:rsidRPr="00975B07" w14:paraId="355EE19F" w14:textId="77777777" w:rsidTr="00AD6A3B">
        <w:tc>
          <w:tcPr>
            <w:tcW w:w="2438" w:type="dxa"/>
            <w:tcBorders>
              <w:top w:val="nil"/>
              <w:left w:val="single" w:sz="8" w:space="0" w:color="000000"/>
              <w:bottom w:val="nil"/>
              <w:right w:val="nil"/>
            </w:tcBorders>
            <w:shd w:val="clear" w:color="auto" w:fill="auto"/>
          </w:tcPr>
          <w:p w14:paraId="182F440C" w14:textId="4DF49088" w:rsidR="0030208D" w:rsidRPr="00975B07" w:rsidRDefault="0030208D" w:rsidP="002D2AEF">
            <w:r w:rsidRPr="00975B07">
              <w:t xml:space="preserve">Appendix </w:t>
            </w:r>
            <w:r w:rsidR="00D952C3">
              <w:t>1</w:t>
            </w:r>
          </w:p>
        </w:tc>
        <w:tc>
          <w:tcPr>
            <w:tcW w:w="6406" w:type="dxa"/>
            <w:tcBorders>
              <w:top w:val="nil"/>
              <w:left w:val="nil"/>
              <w:bottom w:val="nil"/>
              <w:right w:val="single" w:sz="8" w:space="0" w:color="000000"/>
            </w:tcBorders>
          </w:tcPr>
          <w:p w14:paraId="685238EE" w14:textId="77777777" w:rsidR="0030208D" w:rsidRPr="001356F1" w:rsidRDefault="00E4428C" w:rsidP="004A6D2F">
            <w:r>
              <w:t>Risk Register</w:t>
            </w:r>
          </w:p>
        </w:tc>
      </w:tr>
      <w:tr w:rsidR="00AD6A3B" w:rsidRPr="00975B07" w14:paraId="16C4EF81" w14:textId="77777777" w:rsidTr="00A46E98">
        <w:tc>
          <w:tcPr>
            <w:tcW w:w="2438" w:type="dxa"/>
            <w:tcBorders>
              <w:top w:val="nil"/>
              <w:left w:val="single" w:sz="8" w:space="0" w:color="000000"/>
              <w:bottom w:val="single" w:sz="8" w:space="0" w:color="000000"/>
              <w:right w:val="nil"/>
            </w:tcBorders>
            <w:shd w:val="clear" w:color="auto" w:fill="auto"/>
          </w:tcPr>
          <w:p w14:paraId="14025E77" w14:textId="3A598613" w:rsidR="00AD6A3B" w:rsidRPr="00975B07" w:rsidRDefault="00AD6A3B" w:rsidP="002D2AEF">
            <w:r>
              <w:lastRenderedPageBreak/>
              <w:t xml:space="preserve">Appendix </w:t>
            </w:r>
            <w:r w:rsidR="00D952C3">
              <w:t>2</w:t>
            </w:r>
          </w:p>
        </w:tc>
        <w:tc>
          <w:tcPr>
            <w:tcW w:w="6406" w:type="dxa"/>
            <w:tcBorders>
              <w:top w:val="nil"/>
              <w:left w:val="nil"/>
              <w:bottom w:val="single" w:sz="8" w:space="0" w:color="000000"/>
              <w:right w:val="single" w:sz="8" w:space="0" w:color="000000"/>
            </w:tcBorders>
          </w:tcPr>
          <w:p w14:paraId="39EEBC92" w14:textId="075ED9C4" w:rsidR="00AD6A3B" w:rsidRDefault="00AD6A3B" w:rsidP="004A6D2F">
            <w:r>
              <w:t>Equalities Impact Assessment</w:t>
            </w:r>
          </w:p>
        </w:tc>
      </w:tr>
    </w:tbl>
    <w:p w14:paraId="1C24DFC3"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4DA902A6" w14:textId="77777777" w:rsidR="00E87F7A" w:rsidRDefault="00B811F9" w:rsidP="00E657DF">
      <w:pPr>
        <w:pStyle w:val="ListParagraph"/>
        <w:ind w:right="226"/>
        <w:jc w:val="both"/>
      </w:pPr>
      <w:r>
        <w:t>The delivery of workspace in the city-centre is</w:t>
      </w:r>
      <w:r w:rsidR="00E4428C" w:rsidRPr="00E4428C">
        <w:t xml:space="preserve"> one of the main areas of intervention identified in the emerging Oxford City Council Economic Development Strategy. Oxford City Council is already committed to increasing the supply of good quality commercial workspace in its Corporate Plan. The evidence base from the City Council’s Draft Economic </w:t>
      </w:r>
      <w:r>
        <w:t xml:space="preserve">Development </w:t>
      </w:r>
      <w:r w:rsidR="00E4428C" w:rsidRPr="00E4428C">
        <w:t>Strategy has further demonstrated a need to provide workspace that local people and businesses can access. It recognises that more</w:t>
      </w:r>
      <w:r w:rsidR="00E66D2D">
        <w:t xml:space="preserve">, </w:t>
      </w:r>
      <w:r w:rsidR="00E4428C" w:rsidRPr="00E4428C">
        <w:t xml:space="preserve"> improved </w:t>
      </w:r>
      <w:r w:rsidR="00E66D2D">
        <w:t xml:space="preserve">and innovative </w:t>
      </w:r>
      <w:r w:rsidR="00E4428C" w:rsidRPr="00E4428C">
        <w:t>space needs to be made available if the city wants to be both competitive and meet its inclusive economy corporate objectives.</w:t>
      </w:r>
    </w:p>
    <w:p w14:paraId="67D766BB" w14:textId="17796A7C" w:rsidR="00FA6FD0" w:rsidRDefault="001F2466" w:rsidP="00E657DF">
      <w:pPr>
        <w:pStyle w:val="ListParagraph"/>
        <w:ind w:right="226"/>
        <w:jc w:val="both"/>
      </w:pPr>
      <w:r>
        <w:t>The</w:t>
      </w:r>
      <w:r w:rsidR="00E4428C">
        <w:t xml:space="preserve"> county-wide Local Industrial Strategy positions Oxfordshire as one of the top-three global innovation ecosystems, providing an ambitious, long-term vision for economic growth between now and 2040, backed by business. Key to that is a successful city centre in Oxford that supports creative, social enterprise and technology sectors and provides an environment for people and businesses to thrive. </w:t>
      </w:r>
    </w:p>
    <w:p w14:paraId="4D8CF843" w14:textId="77777777" w:rsidR="00E4428C" w:rsidRDefault="00E4428C" w:rsidP="00E657DF">
      <w:pPr>
        <w:pStyle w:val="ListParagraph"/>
        <w:ind w:right="226"/>
        <w:jc w:val="both"/>
      </w:pPr>
      <w:r>
        <w:t>For this reason, the City Council has been successful in attracting £1.93m of Local Growth Funding</w:t>
      </w:r>
      <w:r w:rsidR="007C14E1">
        <w:t xml:space="preserve"> (LGF)</w:t>
      </w:r>
      <w:r>
        <w:t xml:space="preserve"> to deliver new workspaces from </w:t>
      </w:r>
      <w:proofErr w:type="spellStart"/>
      <w:r>
        <w:t>OxLEP</w:t>
      </w:r>
      <w:proofErr w:type="spellEnd"/>
      <w:r>
        <w:t>, subject to contract.</w:t>
      </w:r>
    </w:p>
    <w:p w14:paraId="341D047F" w14:textId="77777777" w:rsidR="00B94A20" w:rsidRDefault="00B94A20" w:rsidP="00E657DF">
      <w:pPr>
        <w:pStyle w:val="ListParagraph"/>
        <w:ind w:right="226"/>
        <w:jc w:val="both"/>
      </w:pPr>
      <w:proofErr w:type="spellStart"/>
      <w:r>
        <w:t>OxLEP</w:t>
      </w:r>
      <w:proofErr w:type="spellEnd"/>
      <w:r>
        <w:t xml:space="preserve"> is keen to explore the potential for a creative workspace hub </w:t>
      </w:r>
      <w:r w:rsidR="003648AD">
        <w:t>and</w:t>
      </w:r>
      <w:r>
        <w:t xml:space="preserve"> a range </w:t>
      </w:r>
      <w:r w:rsidRPr="00B94A20">
        <w:t>of different workspace typologies, including co-working, studio, workshops etc</w:t>
      </w:r>
      <w:r>
        <w:t xml:space="preserve">. </w:t>
      </w:r>
      <w:r w:rsidRPr="00B94A20">
        <w:t xml:space="preserve">The funding will </w:t>
      </w:r>
      <w:r>
        <w:t xml:space="preserve">therefore </w:t>
      </w:r>
      <w:r w:rsidRPr="00B94A20">
        <w:t xml:space="preserve">be used to enable aspects of the inclusive economy agenda, by bringing forward affordable </w:t>
      </w:r>
      <w:r w:rsidR="00E66D2D">
        <w:t xml:space="preserve">and accessible </w:t>
      </w:r>
      <w:r w:rsidRPr="00B94A20">
        <w:t xml:space="preserve">space </w:t>
      </w:r>
      <w:r w:rsidR="00E66D2D">
        <w:t xml:space="preserve">through increased availability </w:t>
      </w:r>
      <w:r w:rsidRPr="00B94A20">
        <w:t xml:space="preserve">and </w:t>
      </w:r>
      <w:r w:rsidR="00E66D2D">
        <w:t xml:space="preserve">by </w:t>
      </w:r>
      <w:r w:rsidRPr="00B94A20">
        <w:t>removing barriers for certain entrepreneurs in less well funded sectors (creative, digital, social enterprise).</w:t>
      </w:r>
    </w:p>
    <w:p w14:paraId="58425407" w14:textId="77777777" w:rsidR="006B1E6B" w:rsidRDefault="006B1E6B" w:rsidP="00E657DF">
      <w:pPr>
        <w:pStyle w:val="ListParagraph"/>
        <w:ind w:right="226"/>
        <w:jc w:val="both"/>
      </w:pPr>
      <w:r>
        <w:t xml:space="preserve">The COVID-19 crisis has created significant uncertainty in the property market and so the feasibility stage of the two workspace projects will need to explore how best to position these schemes within that context. There is an imperative to move forward with both schemes given </w:t>
      </w:r>
      <w:r w:rsidR="00E76B6C">
        <w:t xml:space="preserve">their condition and also the need to utilise </w:t>
      </w:r>
      <w:proofErr w:type="spellStart"/>
      <w:r w:rsidR="00E76B6C">
        <w:t>OxLEP</w:t>
      </w:r>
      <w:proofErr w:type="spellEnd"/>
      <w:r w:rsidR="00E76B6C">
        <w:t xml:space="preserve"> funding to deliver accessible workspace as part of the city’s economic recovery agenda. </w:t>
      </w:r>
    </w:p>
    <w:p w14:paraId="039E6CDC" w14:textId="77777777" w:rsidR="00FA6FD0" w:rsidRPr="00E657DF" w:rsidRDefault="00FA6FD0" w:rsidP="00E657DF">
      <w:pPr>
        <w:ind w:right="226"/>
        <w:jc w:val="both"/>
        <w:rPr>
          <w:b/>
        </w:rPr>
      </w:pPr>
      <w:r w:rsidRPr="00E657DF">
        <w:rPr>
          <w:b/>
        </w:rPr>
        <w:t>The project</w:t>
      </w:r>
      <w:r>
        <w:rPr>
          <w:b/>
        </w:rPr>
        <w:t>s</w:t>
      </w:r>
    </w:p>
    <w:p w14:paraId="6FC2DF01" w14:textId="77777777" w:rsidR="00FA6FD0" w:rsidRDefault="00E4428C" w:rsidP="00E657DF">
      <w:pPr>
        <w:pStyle w:val="ListParagraph"/>
        <w:ind w:right="226"/>
        <w:jc w:val="both"/>
      </w:pPr>
      <w:r>
        <w:t xml:space="preserve">The Council has identified two sites in the City Centre for new and/or improved office space. </w:t>
      </w:r>
    </w:p>
    <w:p w14:paraId="21F21437" w14:textId="2F56ACFD" w:rsidR="004A4139" w:rsidRDefault="002D2AEF" w:rsidP="00E657DF">
      <w:pPr>
        <w:pStyle w:val="ListParagraph"/>
        <w:ind w:right="226"/>
        <w:jc w:val="both"/>
      </w:pPr>
      <w:r>
        <w:t xml:space="preserve">The </w:t>
      </w:r>
      <w:r w:rsidR="00E4428C">
        <w:t xml:space="preserve">initial development is for a refurbished property of approximately </w:t>
      </w:r>
      <w:r w:rsidR="008E4F5A">
        <w:t>473.5sqm (5,097</w:t>
      </w:r>
      <w:r w:rsidR="00E4428C">
        <w:t xml:space="preserve"> </w:t>
      </w:r>
      <w:proofErr w:type="spellStart"/>
      <w:r w:rsidR="00A74C81">
        <w:t>sq.ft</w:t>
      </w:r>
      <w:proofErr w:type="spellEnd"/>
      <w:r w:rsidR="008E4F5A">
        <w:t>)</w:t>
      </w:r>
      <w:r w:rsidR="00E4428C">
        <w:t xml:space="preserve"> </w:t>
      </w:r>
      <w:r w:rsidR="008E4F5A">
        <w:t xml:space="preserve">nett </w:t>
      </w:r>
      <w:r w:rsidR="00A74C81">
        <w:t>lettable</w:t>
      </w:r>
      <w:r w:rsidR="004A4139">
        <w:t>,</w:t>
      </w:r>
      <w:r w:rsidR="008E4F5A">
        <w:t xml:space="preserve"> at</w:t>
      </w:r>
      <w:r w:rsidR="00E4428C">
        <w:t xml:space="preserve"> 1-3 George Street in Oxford City Centre to be available from March 2021. A </w:t>
      </w:r>
      <w:r w:rsidR="00E66D2D">
        <w:t xml:space="preserve">larger </w:t>
      </w:r>
      <w:r w:rsidR="003D078E">
        <w:t>re</w:t>
      </w:r>
      <w:r w:rsidR="00E4428C">
        <w:t>development site</w:t>
      </w:r>
      <w:r w:rsidR="003D078E">
        <w:t>,</w:t>
      </w:r>
      <w:r w:rsidR="00E4428C">
        <w:t xml:space="preserve"> </w:t>
      </w:r>
      <w:proofErr w:type="spellStart"/>
      <w:r w:rsidR="00E4428C">
        <w:t>Standingford</w:t>
      </w:r>
      <w:proofErr w:type="spellEnd"/>
      <w:r w:rsidR="00E4428C">
        <w:t xml:space="preserve"> House on Cave Street</w:t>
      </w:r>
      <w:r w:rsidR="003D078E">
        <w:t>,</w:t>
      </w:r>
      <w:r w:rsidR="00E4428C">
        <w:t xml:space="preserve"> offers a </w:t>
      </w:r>
      <w:r w:rsidR="00E66D2D">
        <w:t xml:space="preserve">further </w:t>
      </w:r>
      <w:r w:rsidR="00E4428C">
        <w:t>opportunity</w:t>
      </w:r>
      <w:r w:rsidR="004A4139">
        <w:t xml:space="preserve"> for a potential 900.0sqm (9,700 </w:t>
      </w:r>
      <w:proofErr w:type="spellStart"/>
      <w:r w:rsidR="004A4139">
        <w:t>sq.ft</w:t>
      </w:r>
      <w:proofErr w:type="spellEnd"/>
      <w:r w:rsidR="004A4139">
        <w:t xml:space="preserve">) </w:t>
      </w:r>
      <w:r w:rsidR="009837DF">
        <w:t>G</w:t>
      </w:r>
      <w:r w:rsidR="00D952C3">
        <w:t xml:space="preserve">ross </w:t>
      </w:r>
      <w:r w:rsidR="009837DF">
        <w:t>I</w:t>
      </w:r>
      <w:r w:rsidR="00D952C3">
        <w:t xml:space="preserve">nternal </w:t>
      </w:r>
      <w:r w:rsidR="009837DF">
        <w:t>F</w:t>
      </w:r>
      <w:r w:rsidR="00D952C3">
        <w:t xml:space="preserve">loor </w:t>
      </w:r>
      <w:r w:rsidR="009837DF">
        <w:t>A</w:t>
      </w:r>
      <w:r w:rsidR="00D952C3">
        <w:t>rea</w:t>
      </w:r>
      <w:r w:rsidR="009837DF">
        <w:t>.</w:t>
      </w:r>
      <w:r w:rsidR="00954F26">
        <w:t xml:space="preserve"> Both schemes will be income generating as well as meeting socio-economic aims.</w:t>
      </w:r>
    </w:p>
    <w:p w14:paraId="5EFE365B" w14:textId="77777777" w:rsidR="00E4428C" w:rsidRDefault="004A4139" w:rsidP="00E657DF">
      <w:pPr>
        <w:pStyle w:val="ListParagraph"/>
        <w:ind w:right="226"/>
        <w:jc w:val="both"/>
      </w:pPr>
      <w:r>
        <w:t>T</w:t>
      </w:r>
      <w:r w:rsidR="003D078E">
        <w:t>his report</w:t>
      </w:r>
      <w:r w:rsidR="00B811F9">
        <w:t xml:space="preserve"> seeks approval to enter into the Funding Agreement with </w:t>
      </w:r>
      <w:proofErr w:type="spellStart"/>
      <w:r w:rsidR="00B811F9">
        <w:t>OxLEP</w:t>
      </w:r>
      <w:proofErr w:type="spellEnd"/>
      <w:r w:rsidR="00B811F9">
        <w:t xml:space="preserve"> for grant</w:t>
      </w:r>
      <w:r w:rsidR="003D078E">
        <w:t xml:space="preserve"> for both </w:t>
      </w:r>
      <w:r w:rsidR="00FA6FD0">
        <w:t>p</w:t>
      </w:r>
      <w:r w:rsidR="00B811F9">
        <w:t>roject</w:t>
      </w:r>
      <w:r w:rsidR="00E66D2D">
        <w:t>s</w:t>
      </w:r>
      <w:r w:rsidR="00FA6FD0">
        <w:t xml:space="preserve">, </w:t>
      </w:r>
      <w:r w:rsidR="008C1E7F">
        <w:t xml:space="preserve">subject to </w:t>
      </w:r>
      <w:r w:rsidR="00FA6FD0">
        <w:t xml:space="preserve">detailed </w:t>
      </w:r>
      <w:r w:rsidR="008C1E7F">
        <w:t>feasibility and design work to follow,</w:t>
      </w:r>
      <w:r w:rsidR="00E4428C">
        <w:t xml:space="preserve"> </w:t>
      </w:r>
      <w:r w:rsidR="00FA6FD0">
        <w:t xml:space="preserve">which </w:t>
      </w:r>
      <w:r w:rsidR="00E4428C">
        <w:t xml:space="preserve">will be subject </w:t>
      </w:r>
      <w:r w:rsidR="000E6B9D">
        <w:t xml:space="preserve">of </w:t>
      </w:r>
      <w:r w:rsidR="00E4428C">
        <w:t xml:space="preserve">a future Cabinet Report. </w:t>
      </w:r>
      <w:r w:rsidR="00305188">
        <w:t>Consultation with existing tenants will take place as part of the feasibility and design.</w:t>
      </w:r>
    </w:p>
    <w:p w14:paraId="5978199F" w14:textId="77777777" w:rsidR="00E4428C" w:rsidRDefault="00E4428C" w:rsidP="00E657DF">
      <w:pPr>
        <w:pStyle w:val="ListParagraph"/>
        <w:ind w:right="226"/>
        <w:jc w:val="both"/>
      </w:pPr>
      <w:r>
        <w:t xml:space="preserve">1-3 George Street comprises a vacant mixed use building </w:t>
      </w:r>
      <w:r w:rsidR="00EB37E5">
        <w:t>in a prime city-centre location</w:t>
      </w:r>
      <w:r w:rsidR="00E76B6C">
        <w:t>. Ho</w:t>
      </w:r>
      <w:r w:rsidR="00EB37E5">
        <w:t xml:space="preserve">wever, </w:t>
      </w:r>
      <w:r>
        <w:t xml:space="preserve">the building’s condition has deteriorated internally and in its </w:t>
      </w:r>
      <w:r>
        <w:lastRenderedPageBreak/>
        <w:t>current condition does not meet minimum regulatory standards. It now requires significant works to substantially refurbish the building to provide a rental income to the council.</w:t>
      </w:r>
      <w:r w:rsidR="00FA6FD0">
        <w:t xml:space="preserve"> </w:t>
      </w:r>
      <w:r>
        <w:t xml:space="preserve">It was reported to </w:t>
      </w:r>
      <w:r w:rsidR="00EB37E5">
        <w:t xml:space="preserve">the then City Executive </w:t>
      </w:r>
      <w:r w:rsidR="008E5B84">
        <w:t>Board</w:t>
      </w:r>
      <w:r w:rsidR="00EB37E5">
        <w:t xml:space="preserve"> (</w:t>
      </w:r>
      <w:r>
        <w:t>CEB</w:t>
      </w:r>
      <w:r w:rsidR="00EB37E5">
        <w:t>)</w:t>
      </w:r>
      <w:r>
        <w:t xml:space="preserve"> in 2016 that the accommodation is dated and likely to prove difficult to let resulting in an erratic and diminishing rent roll.  Plans were subsequently drawn up to </w:t>
      </w:r>
      <w:r w:rsidR="00EB37E5">
        <w:t xml:space="preserve">demolish and </w:t>
      </w:r>
      <w:r>
        <w:t xml:space="preserve">redevelop the whole site </w:t>
      </w:r>
      <w:r w:rsidR="000E6B9D">
        <w:t xml:space="preserve">in order to </w:t>
      </w:r>
      <w:r>
        <w:t>provide a modern</w:t>
      </w:r>
      <w:r w:rsidR="000E6B9D">
        <w:t>,</w:t>
      </w:r>
      <w:r>
        <w:t xml:space="preserve"> fit for purpose</w:t>
      </w:r>
      <w:r w:rsidR="000E6B9D">
        <w:t>,</w:t>
      </w:r>
      <w:r>
        <w:t xml:space="preserve"> office building together with a new retail unit </w:t>
      </w:r>
      <w:r w:rsidR="000E6B9D">
        <w:t xml:space="preserve">for </w:t>
      </w:r>
      <w:r>
        <w:t xml:space="preserve">the existing retail occupier.  The plans were </w:t>
      </w:r>
      <w:r w:rsidR="00EB37E5">
        <w:t>stopped when the feasibility work demonstrate</w:t>
      </w:r>
      <w:r w:rsidR="008E5B84">
        <w:t>d</w:t>
      </w:r>
      <w:r w:rsidR="00EB37E5">
        <w:t xml:space="preserve"> they were </w:t>
      </w:r>
      <w:r>
        <w:t>uneconomic to pursue</w:t>
      </w:r>
      <w:r w:rsidR="00FA6FD0">
        <w:t>.</w:t>
      </w:r>
      <w:r w:rsidR="009A6D6C">
        <w:t xml:space="preserve"> A further exercise was undertaken to explore whether a meanwhile use could u</w:t>
      </w:r>
      <w:r w:rsidR="000E6B9D">
        <w:t>tilise</w:t>
      </w:r>
      <w:r w:rsidR="009A6D6C">
        <w:t xml:space="preserve"> the space while detailed plans were drawn up for its long-term use. This exercise demonstrate</w:t>
      </w:r>
      <w:r w:rsidR="008E5B84">
        <w:t>d</w:t>
      </w:r>
      <w:r w:rsidR="009A6D6C">
        <w:t xml:space="preserve"> the costs to make the building usable were to</w:t>
      </w:r>
      <w:r w:rsidR="008E5B84">
        <w:t>o</w:t>
      </w:r>
      <w:r w:rsidR="00E657DF">
        <w:t xml:space="preserve"> high for such a short-term use;</w:t>
      </w:r>
      <w:r w:rsidR="009A6D6C">
        <w:t xml:space="preserve"> </w:t>
      </w:r>
      <w:r w:rsidR="007F09EC">
        <w:t>h</w:t>
      </w:r>
      <w:r w:rsidR="009A6D6C">
        <w:t xml:space="preserve">owever, it did demonstrate the potential for innovative use of the space to support commercial workspace activity. </w:t>
      </w:r>
    </w:p>
    <w:p w14:paraId="6F7BDD6C" w14:textId="77777777" w:rsidR="005B0861" w:rsidRDefault="00B86AC2" w:rsidP="00E657DF">
      <w:pPr>
        <w:pStyle w:val="ListParagraph"/>
        <w:ind w:right="226"/>
        <w:jc w:val="both"/>
      </w:pPr>
      <w:r>
        <w:t>The d</w:t>
      </w:r>
      <w:r w:rsidR="005B0861">
        <w:t xml:space="preserve">evelopment site on Cave Street comprises the </w:t>
      </w:r>
      <w:proofErr w:type="spellStart"/>
      <w:r w:rsidR="005B0861">
        <w:t>Standingford</w:t>
      </w:r>
      <w:proofErr w:type="spellEnd"/>
      <w:r w:rsidR="005B0861">
        <w:t xml:space="preserve"> House Enterprise Centre and the adjacent vacant site. </w:t>
      </w:r>
      <w:proofErr w:type="spellStart"/>
      <w:r w:rsidR="005B0861">
        <w:t>Standingford</w:t>
      </w:r>
      <w:proofErr w:type="spellEnd"/>
      <w:r w:rsidR="005B0861">
        <w:t xml:space="preserve"> House is currently fully let providing 19 office and studio units</w:t>
      </w:r>
      <w:r>
        <w:t>; h</w:t>
      </w:r>
      <w:r w:rsidR="005B0861">
        <w:t>owever, r</w:t>
      </w:r>
      <w:r w:rsidR="005B0861" w:rsidRPr="005B0861">
        <w:t xml:space="preserve">ecent changes in national legislation </w:t>
      </w:r>
      <w:r w:rsidR="006D70B2">
        <w:t>will prohibit new leases for the property</w:t>
      </w:r>
      <w:r w:rsidR="005B0861" w:rsidRPr="005B0861">
        <w:t xml:space="preserve"> as the building does not comply with the required Minimum Energy Efficiency Standards (MEES) for commercial properties.</w:t>
      </w:r>
      <w:r w:rsidR="005B0861">
        <w:t xml:space="preserve"> </w:t>
      </w:r>
      <w:r w:rsidR="005B0861" w:rsidRPr="005B0861">
        <w:t>There is therefore the threat of a diminishing rental income and the risk of rising vacant property costs over the medium term financial plan period.</w:t>
      </w:r>
      <w:r w:rsidR="005B0861">
        <w:t xml:space="preserve"> </w:t>
      </w:r>
      <w:r w:rsidR="003A3CA1">
        <w:t>F</w:t>
      </w:r>
      <w:r w:rsidR="005B0861">
        <w:t xml:space="preserve">easibility work </w:t>
      </w:r>
      <w:r w:rsidR="003A3CA1">
        <w:t xml:space="preserve">is being commissioned </w:t>
      </w:r>
      <w:r w:rsidR="005B0861">
        <w:t xml:space="preserve">to </w:t>
      </w:r>
      <w:r w:rsidR="0009374C">
        <w:t xml:space="preserve">undertake an options appraisal </w:t>
      </w:r>
      <w:r>
        <w:t>for the site</w:t>
      </w:r>
      <w:r w:rsidR="005B0861">
        <w:t xml:space="preserve">. </w:t>
      </w:r>
      <w:r w:rsidR="00E76B6C">
        <w:t xml:space="preserve">The Council will </w:t>
      </w:r>
      <w:r w:rsidR="006D70B2">
        <w:t>engage</w:t>
      </w:r>
      <w:r w:rsidR="00E76B6C">
        <w:t xml:space="preserve"> with existing tenants through</w:t>
      </w:r>
      <w:r w:rsidR="006D70B2">
        <w:t>out</w:t>
      </w:r>
      <w:r w:rsidR="00B63DC9">
        <w:t xml:space="preserve"> this process.</w:t>
      </w:r>
      <w:r w:rsidR="00E76B6C">
        <w:t xml:space="preserve"> </w:t>
      </w:r>
    </w:p>
    <w:p w14:paraId="7DEA7151" w14:textId="77777777" w:rsidR="000E6B9D" w:rsidRPr="000E6B9D" w:rsidRDefault="00FA6FD0" w:rsidP="00E657DF">
      <w:pPr>
        <w:pStyle w:val="ListParagraph"/>
        <w:ind w:right="226"/>
        <w:jc w:val="both"/>
      </w:pPr>
      <w:r>
        <w:t>Initial viability work has been undertaken</w:t>
      </w:r>
      <w:r w:rsidR="00E76B6C">
        <w:t xml:space="preserve"> on both sites, </w:t>
      </w:r>
      <w:r w:rsidR="000E6B9D">
        <w:t>which has</w:t>
      </w:r>
      <w:r>
        <w:t xml:space="preserve"> demonstrate</w:t>
      </w:r>
      <w:r w:rsidR="000E6B9D">
        <w:t>d</w:t>
      </w:r>
      <w:r>
        <w:t xml:space="preserve"> a funding gap and </w:t>
      </w:r>
      <w:r w:rsidR="000E6B9D">
        <w:t xml:space="preserve">the </w:t>
      </w:r>
      <w:r>
        <w:t xml:space="preserve">need for external subsidy to deliver workspace. </w:t>
      </w:r>
      <w:r w:rsidR="00B65B4A" w:rsidRPr="00B65B4A">
        <w:t xml:space="preserve">A Business Case </w:t>
      </w:r>
      <w:r w:rsidR="00B65B4A">
        <w:t xml:space="preserve">Form was </w:t>
      </w:r>
      <w:r w:rsidR="00B65B4A" w:rsidRPr="00B65B4A">
        <w:t xml:space="preserve">prepared </w:t>
      </w:r>
      <w:r w:rsidR="00B65B4A">
        <w:t xml:space="preserve">by the Council and submitted to </w:t>
      </w:r>
      <w:proofErr w:type="spellStart"/>
      <w:r w:rsidR="00B65B4A">
        <w:t>OxLEP</w:t>
      </w:r>
      <w:proofErr w:type="spellEnd"/>
      <w:r w:rsidR="00B65B4A">
        <w:t xml:space="preserve"> </w:t>
      </w:r>
      <w:r w:rsidR="00B65B4A" w:rsidRPr="00B65B4A">
        <w:t xml:space="preserve">and approved </w:t>
      </w:r>
      <w:r w:rsidR="006A4A39">
        <w:t xml:space="preserve">by them </w:t>
      </w:r>
      <w:r w:rsidR="00B65B4A" w:rsidRPr="00B65B4A">
        <w:t xml:space="preserve">as part of the funding application. </w:t>
      </w:r>
      <w:r w:rsidR="00DF54DF">
        <w:t xml:space="preserve">A </w:t>
      </w:r>
      <w:r w:rsidR="0078075E">
        <w:t xml:space="preserve">standalone </w:t>
      </w:r>
      <w:r w:rsidR="00DF54DF">
        <w:t xml:space="preserve">Business Case will be prepared for each project as part of the </w:t>
      </w:r>
      <w:r w:rsidR="00E76B6C">
        <w:t xml:space="preserve">detailed </w:t>
      </w:r>
      <w:r w:rsidR="00DF54DF">
        <w:t>feasibility wo</w:t>
      </w:r>
      <w:r w:rsidR="000E6B9D">
        <w:t xml:space="preserve">rk for each site </w:t>
      </w:r>
      <w:r w:rsidR="000E6B9D" w:rsidRPr="000E6B9D">
        <w:t>which will be subject of future Cabinet Report</w:t>
      </w:r>
      <w:r w:rsidR="000E6B9D">
        <w:t>s</w:t>
      </w:r>
      <w:r w:rsidR="00E76B6C">
        <w:t xml:space="preserve"> and a budget allocation to take forward delivery</w:t>
      </w:r>
      <w:r w:rsidR="000E6B9D" w:rsidRPr="000E6B9D">
        <w:t xml:space="preserve">. </w:t>
      </w:r>
    </w:p>
    <w:p w14:paraId="260A1EA6" w14:textId="7C1E7B91" w:rsidR="00DF54DF" w:rsidRDefault="00DF54DF" w:rsidP="00E657DF">
      <w:pPr>
        <w:pStyle w:val="ListParagraph"/>
        <w:ind w:right="226"/>
        <w:jc w:val="both"/>
      </w:pPr>
      <w:r>
        <w:t>T</w:t>
      </w:r>
      <w:r w:rsidR="001B08EB" w:rsidRPr="001B08EB">
        <w:t>he</w:t>
      </w:r>
      <w:r w:rsidR="00034CB7">
        <w:t xml:space="preserve"> </w:t>
      </w:r>
      <w:proofErr w:type="spellStart"/>
      <w:r w:rsidR="00FA6FD0">
        <w:t>OxLEP</w:t>
      </w:r>
      <w:proofErr w:type="spellEnd"/>
      <w:r w:rsidR="00FA6FD0">
        <w:t xml:space="preserve"> </w:t>
      </w:r>
      <w:r w:rsidR="001B08EB" w:rsidRPr="001B08EB">
        <w:t xml:space="preserve">grant </w:t>
      </w:r>
      <w:r w:rsidR="00FA6FD0">
        <w:t xml:space="preserve">will </w:t>
      </w:r>
      <w:r w:rsidR="001B08EB" w:rsidRPr="001B08EB">
        <w:t>allow</w:t>
      </w:r>
      <w:r w:rsidR="001B08EB">
        <w:t xml:space="preserve"> </w:t>
      </w:r>
      <w:r w:rsidR="001B08EB" w:rsidRPr="001B08EB">
        <w:t>the funding gap to be bridged on both projects</w:t>
      </w:r>
      <w:r>
        <w:t xml:space="preserve"> </w:t>
      </w:r>
      <w:r w:rsidR="001B08EB" w:rsidRPr="001B08EB">
        <w:t>and allows an opportunity to grant fund all of the early stages of spend in 2020-</w:t>
      </w:r>
      <w:r w:rsidR="001F2466">
        <w:t>2</w:t>
      </w:r>
      <w:r w:rsidR="001B08EB" w:rsidRPr="001B08EB">
        <w:t>1</w:t>
      </w:r>
      <w:r>
        <w:t xml:space="preserve">. </w:t>
      </w:r>
    </w:p>
    <w:p w14:paraId="6D468145" w14:textId="77777777" w:rsidR="00484900" w:rsidRPr="00484900" w:rsidRDefault="00DF54DF" w:rsidP="00E657DF">
      <w:pPr>
        <w:pStyle w:val="ListParagraph"/>
        <w:ind w:right="226"/>
        <w:jc w:val="both"/>
      </w:pPr>
      <w:r>
        <w:t xml:space="preserve">The </w:t>
      </w:r>
      <w:proofErr w:type="spellStart"/>
      <w:r>
        <w:t>OxLEP</w:t>
      </w:r>
      <w:proofErr w:type="spellEnd"/>
      <w:r>
        <w:t xml:space="preserve"> funding </w:t>
      </w:r>
      <w:r w:rsidR="00292FF4">
        <w:t xml:space="preserve">proposal </w:t>
      </w:r>
      <w:r>
        <w:t>identif</w:t>
      </w:r>
      <w:r w:rsidR="00292FF4">
        <w:t>ies</w:t>
      </w:r>
      <w:r>
        <w:t xml:space="preserve"> key objectives to be met by the projec</w:t>
      </w:r>
      <w:r w:rsidR="00292FF4">
        <w:t>ts</w:t>
      </w:r>
      <w:r>
        <w:t xml:space="preserve"> including</w:t>
      </w:r>
      <w:r w:rsidR="00292FF4">
        <w:t>;</w:t>
      </w:r>
      <w:r>
        <w:t xml:space="preserve"> promoting economic growth in Oxford by providing much needed premises for new and small businesses to operate from within the City centre, </w:t>
      </w:r>
      <w:r w:rsidR="00292FF4">
        <w:t>working</w:t>
      </w:r>
      <w:r>
        <w:t xml:space="preserve"> with partners to support start-ups and to provide space for small businesses in key sectors important to Oxford’s economy including</w:t>
      </w:r>
      <w:r w:rsidR="0024195D">
        <w:t>:</w:t>
      </w:r>
      <w:r>
        <w:t xml:space="preserve"> the </w:t>
      </w:r>
      <w:r w:rsidR="0078075E">
        <w:t>creative sectors, social enterprises and wider knowledge based businesses</w:t>
      </w:r>
      <w:r w:rsidR="0078075E">
        <w:rPr>
          <w:rStyle w:val="CommentReference"/>
        </w:rPr>
        <w:t>.</w:t>
      </w:r>
    </w:p>
    <w:p w14:paraId="44DA3265" w14:textId="44118DD7" w:rsidR="00E4428C" w:rsidRDefault="00E4428C" w:rsidP="00E657DF">
      <w:pPr>
        <w:pStyle w:val="ListParagraph"/>
        <w:ind w:right="226"/>
        <w:jc w:val="both"/>
      </w:pPr>
      <w:r>
        <w:t xml:space="preserve">This will enable aspects of the inclusive economy agenda, by bringing forward affordable space and removing barriers for certain entrepreneurs in less well funded sectors (creative, digital, social enterprise). As part of the </w:t>
      </w:r>
      <w:r w:rsidR="009A6D6C">
        <w:t xml:space="preserve">feasibility work for each scheme </w:t>
      </w:r>
      <w:r>
        <w:t xml:space="preserve">officers will </w:t>
      </w:r>
      <w:r w:rsidR="009A6D6C">
        <w:t xml:space="preserve">look at options that include contracting with </w:t>
      </w:r>
      <w:r>
        <w:t>workspace operators to let and operate the development</w:t>
      </w:r>
      <w:r w:rsidR="009A6D6C">
        <w:t xml:space="preserve"> to maximise outcomes</w:t>
      </w:r>
      <w:r w:rsidR="00D952C3">
        <w:t>.</w:t>
      </w:r>
    </w:p>
    <w:p w14:paraId="2B3732B7" w14:textId="77777777" w:rsidR="00D952C3" w:rsidRDefault="00D952C3" w:rsidP="00CE2C77">
      <w:pPr>
        <w:pStyle w:val="ListParagraph"/>
        <w:numPr>
          <w:ilvl w:val="0"/>
          <w:numId w:val="0"/>
        </w:numPr>
        <w:ind w:left="426" w:right="226"/>
        <w:jc w:val="both"/>
      </w:pPr>
    </w:p>
    <w:p w14:paraId="01CC3020" w14:textId="77777777" w:rsidR="0040736F" w:rsidRPr="001356F1" w:rsidRDefault="002329CF" w:rsidP="00E657DF">
      <w:pPr>
        <w:pStyle w:val="Heading1"/>
        <w:ind w:left="568" w:right="226" w:hanging="568"/>
        <w:jc w:val="both"/>
      </w:pPr>
      <w:r w:rsidRPr="001356F1">
        <w:t>Financial implications</w:t>
      </w:r>
    </w:p>
    <w:p w14:paraId="115EF087" w14:textId="5DD395EB" w:rsidR="00E76B6C" w:rsidRDefault="00E76B6C" w:rsidP="00E657DF">
      <w:pPr>
        <w:pStyle w:val="ListParagraph"/>
        <w:ind w:right="226"/>
        <w:jc w:val="both"/>
      </w:pPr>
      <w:r>
        <w:t xml:space="preserve">It is expected that the Council will need to invest capital funds in both schemes alongside the </w:t>
      </w:r>
      <w:r w:rsidR="001C0538">
        <w:t>£</w:t>
      </w:r>
      <w:r w:rsidR="005368A2">
        <w:t>1.93million fu</w:t>
      </w:r>
      <w:r w:rsidR="00A11C1F">
        <w:t>nd</w:t>
      </w:r>
      <w:r>
        <w:t>ing</w:t>
      </w:r>
      <w:r w:rsidR="00A11C1F">
        <w:t xml:space="preserve"> </w:t>
      </w:r>
      <w:r>
        <w:t xml:space="preserve">from </w:t>
      </w:r>
      <w:proofErr w:type="spellStart"/>
      <w:r w:rsidR="00A11C1F">
        <w:t>OxLEP</w:t>
      </w:r>
      <w:proofErr w:type="spellEnd"/>
      <w:r w:rsidR="00A11C1F">
        <w:t xml:space="preserve"> grant</w:t>
      </w:r>
      <w:r w:rsidR="00D94025">
        <w:t xml:space="preserve"> for which provision has yet to be made in the Council</w:t>
      </w:r>
      <w:r w:rsidR="00D93B71">
        <w:t>’</w:t>
      </w:r>
      <w:r w:rsidR="00D94025">
        <w:t>s capital programme</w:t>
      </w:r>
      <w:r>
        <w:t xml:space="preserve">. This investment will be </w:t>
      </w:r>
      <w:r w:rsidR="00A11C1F">
        <w:t xml:space="preserve">subject to </w:t>
      </w:r>
      <w:r>
        <w:lastRenderedPageBreak/>
        <w:t xml:space="preserve">viable </w:t>
      </w:r>
      <w:r w:rsidR="00A11C1F">
        <w:t>Business Case</w:t>
      </w:r>
      <w:r w:rsidR="006A4A39">
        <w:t>s</w:t>
      </w:r>
      <w:r w:rsidR="00A11C1F">
        <w:t xml:space="preserve"> being </w:t>
      </w:r>
      <w:r>
        <w:t xml:space="preserve">put forward </w:t>
      </w:r>
      <w:r w:rsidR="009837DF">
        <w:t xml:space="preserve">for each project </w:t>
      </w:r>
      <w:r w:rsidR="00A11C1F">
        <w:t xml:space="preserve"> </w:t>
      </w:r>
      <w:r>
        <w:t xml:space="preserve">These </w:t>
      </w:r>
      <w:r w:rsidR="009837DF">
        <w:t>B</w:t>
      </w:r>
      <w:r>
        <w:t xml:space="preserve">usiness </w:t>
      </w:r>
      <w:r w:rsidR="009837DF">
        <w:t>C</w:t>
      </w:r>
      <w:r>
        <w:t xml:space="preserve">ases, </w:t>
      </w:r>
      <w:proofErr w:type="gramStart"/>
      <w:r>
        <w:t>and</w:t>
      </w:r>
      <w:proofErr w:type="gramEnd"/>
      <w:r>
        <w:t xml:space="preserve"> funding requests will be subject to further Cabinet reports and in relation to Council funding, a Council decision.</w:t>
      </w:r>
    </w:p>
    <w:p w14:paraId="6DE531B4" w14:textId="707B49AB" w:rsidR="005A08FD" w:rsidRPr="005A08FD" w:rsidRDefault="005A08FD" w:rsidP="005A08FD">
      <w:pPr>
        <w:pStyle w:val="ListParagraph"/>
      </w:pPr>
      <w:r w:rsidRPr="005A08FD">
        <w:t xml:space="preserve">The feasibility costs for these projects </w:t>
      </w:r>
      <w:r w:rsidR="001F2466">
        <w:t>are</w:t>
      </w:r>
      <w:r w:rsidRPr="005A08FD">
        <w:t xml:space="preserve"> being met from the Council’s capital feasibility fund, but will be recouped from the </w:t>
      </w:r>
      <w:proofErr w:type="spellStart"/>
      <w:r w:rsidRPr="005A08FD">
        <w:t>OxLEP</w:t>
      </w:r>
      <w:proofErr w:type="spellEnd"/>
      <w:r w:rsidRPr="005A08FD">
        <w:t xml:space="preserve"> grant if the Business Cases are approved.  The estimated projected total cost across both projects is £6.18m. Consequentl</w:t>
      </w:r>
      <w:r>
        <w:t>y,</w:t>
      </w:r>
      <w:r w:rsidRPr="005A08FD">
        <w:t xml:space="preserve"> alongside the £1.93m grant, the city council will likely invest an estimated £4.25m subject to further feasibility, design and business case approval. It is expected that £750K will first be spent on the George St refurbishment, to be completed</w:t>
      </w:r>
      <w:r w:rsidR="001F2466">
        <w:t xml:space="preserve"> in</w:t>
      </w:r>
      <w:r w:rsidRPr="005A08FD">
        <w:t xml:space="preserve"> spring 2021. Potentially £5.43m will be spent at Cave St, projected for completion in autumn 2023, subject to feasibility.</w:t>
      </w:r>
    </w:p>
    <w:p w14:paraId="0C004AF9" w14:textId="040B44B8" w:rsidR="00D102BD" w:rsidRPr="00D102BD" w:rsidRDefault="00D102BD" w:rsidP="00D102BD">
      <w:pPr>
        <w:pStyle w:val="ListParagraph"/>
        <w:ind w:right="226"/>
        <w:jc w:val="both"/>
      </w:pPr>
      <w:r>
        <w:t>Both projects will aim to achieve an enhanced asset and long-term income levels preferable to purely commercial options. This is likely to be the case due to the level of subsidy. The forthcoming business cases will test this further. Each business case will include a full capital investment appraisal that assesses the available options.</w:t>
      </w:r>
    </w:p>
    <w:p w14:paraId="25846D37" w14:textId="2789C879" w:rsidR="0004137D" w:rsidRDefault="00E571E9" w:rsidP="00E657DF">
      <w:pPr>
        <w:pStyle w:val="ListParagraph"/>
        <w:ind w:right="226"/>
        <w:jc w:val="both"/>
      </w:pPr>
      <w:r>
        <w:t>Th</w:t>
      </w:r>
      <w:r w:rsidR="007C14E1">
        <w:t xml:space="preserve">e </w:t>
      </w:r>
      <w:r w:rsidR="004F10E2">
        <w:t>drawdown</w:t>
      </w:r>
      <w:r w:rsidR="007C14E1">
        <w:t xml:space="preserve"> of the</w:t>
      </w:r>
      <w:r>
        <w:t xml:space="preserve"> </w:t>
      </w:r>
      <w:proofErr w:type="spellStart"/>
      <w:r>
        <w:t>OxLEP</w:t>
      </w:r>
      <w:proofErr w:type="spellEnd"/>
      <w:r>
        <w:t xml:space="preserve"> </w:t>
      </w:r>
      <w:r w:rsidR="0074521E">
        <w:t xml:space="preserve">LGF </w:t>
      </w:r>
      <w:r>
        <w:t xml:space="preserve">funding </w:t>
      </w:r>
      <w:r w:rsidR="007C14E1">
        <w:t xml:space="preserve">will </w:t>
      </w:r>
      <w:r w:rsidR="0074521E">
        <w:t xml:space="preserve">require early expenditure across the two projects 1-3 George Street and </w:t>
      </w:r>
      <w:proofErr w:type="spellStart"/>
      <w:r w:rsidR="0074521E">
        <w:t>Standingford</w:t>
      </w:r>
      <w:proofErr w:type="spellEnd"/>
      <w:r w:rsidR="0074521E">
        <w:t xml:space="preserve"> House, Cave Street. </w:t>
      </w:r>
      <w:r w:rsidR="00057772" w:rsidRPr="00057772">
        <w:t>Should the Business Case</w:t>
      </w:r>
      <w:r w:rsidR="00320744">
        <w:t>s</w:t>
      </w:r>
      <w:r w:rsidR="00057772" w:rsidRPr="00057772">
        <w:t xml:space="preserve"> be acceptable</w:t>
      </w:r>
      <w:r w:rsidR="0024195D">
        <w:t>,</w:t>
      </w:r>
      <w:r w:rsidR="00057772" w:rsidRPr="00057772">
        <w:t xml:space="preserve"> the </w:t>
      </w:r>
      <w:r w:rsidR="007C14E1">
        <w:t xml:space="preserve">detailed </w:t>
      </w:r>
      <w:r w:rsidR="00A11C1F">
        <w:t xml:space="preserve">design and </w:t>
      </w:r>
      <w:r w:rsidR="00057772">
        <w:t xml:space="preserve">feasibility </w:t>
      </w:r>
      <w:r w:rsidR="00A11C1F">
        <w:t>work</w:t>
      </w:r>
      <w:r w:rsidR="00057772">
        <w:t xml:space="preserve"> for both</w:t>
      </w:r>
      <w:r w:rsidR="0074521E">
        <w:t xml:space="preserve"> the George Street refurbishment and </w:t>
      </w:r>
      <w:proofErr w:type="spellStart"/>
      <w:r w:rsidR="0074521E">
        <w:t>Standingford</w:t>
      </w:r>
      <w:proofErr w:type="spellEnd"/>
      <w:r w:rsidR="0074521E">
        <w:t xml:space="preserve"> House </w:t>
      </w:r>
      <w:r w:rsidR="00057772">
        <w:t xml:space="preserve">will be met from </w:t>
      </w:r>
      <w:r w:rsidR="00A11C1F">
        <w:t xml:space="preserve">the </w:t>
      </w:r>
      <w:r w:rsidR="007C14E1">
        <w:t xml:space="preserve">financial year 2020/21 </w:t>
      </w:r>
      <w:r w:rsidR="009837DF">
        <w:t xml:space="preserve">year one grant </w:t>
      </w:r>
      <w:r w:rsidR="007C14E1">
        <w:t xml:space="preserve">estimated to be </w:t>
      </w:r>
      <w:r w:rsidR="00A11C1F" w:rsidRPr="00A11C1F">
        <w:t>£900K</w:t>
      </w:r>
      <w:r w:rsidR="00057772">
        <w:t>.</w:t>
      </w:r>
      <w:r w:rsidR="0074521E">
        <w:t xml:space="preserve"> </w:t>
      </w:r>
      <w:r w:rsidR="00336539">
        <w:t>£250k has already been identified from the Council’s feasibility capital budget earlier in th</w:t>
      </w:r>
      <w:r w:rsidR="00D952C3">
        <w:t>is financial year</w:t>
      </w:r>
      <w:r w:rsidR="00336539">
        <w:t xml:space="preserve"> and this can be claimed back using the grant.</w:t>
      </w:r>
    </w:p>
    <w:p w14:paraId="645EA342" w14:textId="3A262E0E" w:rsidR="00E571E9" w:rsidRDefault="007C14E1" w:rsidP="00E657DF">
      <w:pPr>
        <w:pStyle w:val="ListParagraph"/>
        <w:ind w:right="226"/>
        <w:jc w:val="both"/>
      </w:pPr>
      <w:r>
        <w:t xml:space="preserve">An initial State </w:t>
      </w:r>
      <w:r w:rsidR="00954F26">
        <w:t>A</w:t>
      </w:r>
      <w:r>
        <w:t xml:space="preserve">id assessment has been undertaken and this has indicated that both schemes </w:t>
      </w:r>
      <w:r w:rsidR="00954F26">
        <w:t>can be subsidised through the grant, in order to cover the funding gap</w:t>
      </w:r>
      <w:r>
        <w:t xml:space="preserve">. This will be confirmed as part of the </w:t>
      </w:r>
      <w:r w:rsidR="006D70B2">
        <w:t>B</w:t>
      </w:r>
      <w:r>
        <w:t xml:space="preserve">usiness </w:t>
      </w:r>
      <w:r w:rsidR="006D70B2">
        <w:t>C</w:t>
      </w:r>
      <w:r>
        <w:t xml:space="preserve">ase </w:t>
      </w:r>
      <w:r w:rsidR="006D70B2">
        <w:t xml:space="preserve">for each project </w:t>
      </w:r>
      <w:r>
        <w:t>and subsequent Cabinet report</w:t>
      </w:r>
      <w:r w:rsidR="006D70B2">
        <w:t>s</w:t>
      </w:r>
      <w:r w:rsidR="00032DA2">
        <w:t>.</w:t>
      </w:r>
      <w:r w:rsidR="004F10E2">
        <w:t xml:space="preserve"> </w:t>
      </w:r>
    </w:p>
    <w:p w14:paraId="1DAA0860" w14:textId="01A4D88C" w:rsidR="008C1E7F" w:rsidRDefault="00142994" w:rsidP="00E657DF">
      <w:pPr>
        <w:pStyle w:val="ListParagraph"/>
        <w:ind w:right="226"/>
        <w:jc w:val="both"/>
      </w:pPr>
      <w:r>
        <w:t>It is important to note that t</w:t>
      </w:r>
      <w:r w:rsidR="00CE208F">
        <w:t xml:space="preserve">he funding is time limited. </w:t>
      </w:r>
      <w:r w:rsidR="008C1E7F">
        <w:t>Around £900k of grant will be spent up front in 2020</w:t>
      </w:r>
      <w:r w:rsidR="00D952C3">
        <w:t>-</w:t>
      </w:r>
      <w:r w:rsidR="007C14E1">
        <w:t>21</w:t>
      </w:r>
      <w:r w:rsidR="008C1E7F">
        <w:t>, with the remainder in 202122</w:t>
      </w:r>
      <w:r w:rsidR="00D94025">
        <w:t xml:space="preserve"> subject to Cabinet and agreeing the business cases and </w:t>
      </w:r>
      <w:r w:rsidR="00C518AB">
        <w:t>recommending the use of required capital funds for approval by Council</w:t>
      </w:r>
      <w:r w:rsidR="00CE2C77">
        <w:t>.</w:t>
      </w:r>
      <w:r w:rsidR="008C1E7F">
        <w:t xml:space="preserve"> Oxford City Council’s match funding contribution will </w:t>
      </w:r>
      <w:r w:rsidR="007C14E1">
        <w:t xml:space="preserve">need to </w:t>
      </w:r>
      <w:r w:rsidR="008C1E7F">
        <w:t>be spent in 2021-2</w:t>
      </w:r>
      <w:r w:rsidR="007C14E1">
        <w:t>2</w:t>
      </w:r>
      <w:r w:rsidR="008C1E7F">
        <w:t xml:space="preserve"> and </w:t>
      </w:r>
      <w:r w:rsidR="00D94025">
        <w:t>20</w:t>
      </w:r>
      <w:r w:rsidR="008C1E7F">
        <w:t>22-23.</w:t>
      </w:r>
      <w:r w:rsidR="00CE208F">
        <w:t xml:space="preserve"> </w:t>
      </w:r>
      <w:r w:rsidR="007C14E1">
        <w:t xml:space="preserve">This will be confirmed through the next phase of feasibility. </w:t>
      </w:r>
    </w:p>
    <w:p w14:paraId="1F1005D9" w14:textId="77777777" w:rsidR="0040736F" w:rsidRPr="001356F1" w:rsidRDefault="00DA614B" w:rsidP="00E657DF">
      <w:pPr>
        <w:pStyle w:val="Heading1"/>
        <w:ind w:right="226"/>
        <w:jc w:val="both"/>
      </w:pPr>
      <w:r w:rsidRPr="001356F1">
        <w:t>Legal issues</w:t>
      </w:r>
    </w:p>
    <w:p w14:paraId="44BD076F" w14:textId="210857C3" w:rsidR="00E87F7A" w:rsidRDefault="00C518AB" w:rsidP="00E657DF">
      <w:pPr>
        <w:pStyle w:val="ListParagraph"/>
        <w:ind w:right="226"/>
        <w:jc w:val="both"/>
      </w:pPr>
      <w:r>
        <w:t xml:space="preserve">The </w:t>
      </w:r>
      <w:r w:rsidR="00CE2C77">
        <w:t>Council has</w:t>
      </w:r>
      <w:r w:rsidR="00AD6A3B" w:rsidRPr="00AD6A3B">
        <w:t xml:space="preserve"> commissioned Browne </w:t>
      </w:r>
      <w:r w:rsidR="006A4A39" w:rsidRPr="00AD6A3B">
        <w:t>Jacobs</w:t>
      </w:r>
      <w:r>
        <w:t>o</w:t>
      </w:r>
      <w:r w:rsidR="006A4A39" w:rsidRPr="00AD6A3B">
        <w:t>n</w:t>
      </w:r>
      <w:r>
        <w:t xml:space="preserve"> LLP</w:t>
      </w:r>
      <w:r w:rsidR="00CE2C77">
        <w:t xml:space="preserve"> </w:t>
      </w:r>
      <w:r w:rsidR="00AD6A3B" w:rsidRPr="00AD6A3B">
        <w:t xml:space="preserve">to provide an independent state aid assessment which is required as a pre-condition of the funding agreement with </w:t>
      </w:r>
      <w:proofErr w:type="spellStart"/>
      <w:r w:rsidR="00AD6A3B" w:rsidRPr="00AD6A3B">
        <w:t>OxLEP</w:t>
      </w:r>
      <w:proofErr w:type="spellEnd"/>
      <w:r w:rsidR="00AD6A3B" w:rsidRPr="00AD6A3B">
        <w:t>.</w:t>
      </w:r>
      <w:r w:rsidR="00AD6A3B">
        <w:t xml:space="preserve"> </w:t>
      </w:r>
    </w:p>
    <w:p w14:paraId="22D3109B" w14:textId="581B8DD5" w:rsidR="00AD6A3B" w:rsidRDefault="00AD6A3B" w:rsidP="00E657DF">
      <w:pPr>
        <w:pStyle w:val="ListParagraph"/>
        <w:ind w:right="226"/>
        <w:jc w:val="both"/>
      </w:pPr>
      <w:r>
        <w:t>Browne Jacobs</w:t>
      </w:r>
      <w:r w:rsidR="00286AC8">
        <w:t>o</w:t>
      </w:r>
      <w:r>
        <w:t xml:space="preserve">n </w:t>
      </w:r>
      <w:r w:rsidR="00286AC8">
        <w:t xml:space="preserve">LLP </w:t>
      </w:r>
      <w:r>
        <w:t>has advised:</w:t>
      </w:r>
    </w:p>
    <w:p w14:paraId="1630D7A3" w14:textId="77777777" w:rsidR="00AD6A3B" w:rsidRDefault="00AD6A3B" w:rsidP="00E657DF">
      <w:pPr>
        <w:pStyle w:val="ListParagraph"/>
        <w:numPr>
          <w:ilvl w:val="1"/>
          <w:numId w:val="14"/>
        </w:numPr>
        <w:ind w:right="226" w:hanging="426"/>
        <w:jc w:val="both"/>
      </w:pPr>
      <w:r>
        <w:t xml:space="preserve">The Council is acting as an undertaking for these purposes and the State </w:t>
      </w:r>
      <w:r w:rsidR="006A4A39">
        <w:t>A</w:t>
      </w:r>
      <w:r>
        <w:t xml:space="preserve">id tests are passed. </w:t>
      </w:r>
    </w:p>
    <w:p w14:paraId="6ACD4D12" w14:textId="341D14D9" w:rsidR="00AD6A3B" w:rsidRDefault="00AD6A3B" w:rsidP="00955380">
      <w:pPr>
        <w:pStyle w:val="ListParagraph"/>
        <w:numPr>
          <w:ilvl w:val="1"/>
          <w:numId w:val="14"/>
        </w:numPr>
        <w:ind w:right="226"/>
        <w:jc w:val="both"/>
      </w:pPr>
      <w:r>
        <w:t xml:space="preserve">The Council should be able to benefit from Article 56 of </w:t>
      </w:r>
      <w:r w:rsidR="00286AC8" w:rsidRPr="00286AC8">
        <w:t xml:space="preserve">General Block Exemption Regulation </w:t>
      </w:r>
      <w:r w:rsidR="00286AC8">
        <w:t>(</w:t>
      </w:r>
      <w:r>
        <w:t>GBER</w:t>
      </w:r>
      <w:r w:rsidR="00286AC8">
        <w:t>)</w:t>
      </w:r>
      <w:r>
        <w:t xml:space="preserve"> to enable the funding gap to be filled, provided that the calculation is made by the Council to demonstrate that the grant funding from </w:t>
      </w:r>
      <w:proofErr w:type="spellStart"/>
      <w:r>
        <w:t>OxLEP</w:t>
      </w:r>
      <w:proofErr w:type="spellEnd"/>
      <w:r>
        <w:t xml:space="preserve"> will not be greater than the difference between the eligible costs incurred by the Council in developing the hubs and the operating profit made by the Council from it over the relevant lifetime of the </w:t>
      </w:r>
      <w:r>
        <w:lastRenderedPageBreak/>
        <w:t>hubs</w:t>
      </w:r>
      <w:r w:rsidR="00955380" w:rsidRPr="00955380">
        <w:t xml:space="preserve"> calculated in accordance with the appropriate accountancy led depreciation period</w:t>
      </w:r>
      <w:r>
        <w:t>.</w:t>
      </w:r>
    </w:p>
    <w:p w14:paraId="13F33189" w14:textId="09E624EF" w:rsidR="00955380" w:rsidRDefault="00955380" w:rsidP="00955380">
      <w:pPr>
        <w:pStyle w:val="ListParagraph"/>
        <w:numPr>
          <w:ilvl w:val="1"/>
          <w:numId w:val="14"/>
        </w:numPr>
        <w:ind w:right="226"/>
        <w:jc w:val="both"/>
      </w:pPr>
      <w:r w:rsidRPr="00955380">
        <w:t>The aid provided under GBER must have an incentive effect (i.e. there has been a written application before the project has started and the Council must be able to show a material increase in scope, amount spent or speed of completion of the project as a result of the funding).</w:t>
      </w:r>
    </w:p>
    <w:p w14:paraId="6112A8F8" w14:textId="77777777" w:rsidR="00AD6A3B" w:rsidRDefault="00AD6A3B" w:rsidP="00E657DF">
      <w:pPr>
        <w:pStyle w:val="ListParagraph"/>
        <w:numPr>
          <w:ilvl w:val="1"/>
          <w:numId w:val="14"/>
        </w:numPr>
        <w:ind w:right="226" w:hanging="426"/>
        <w:jc w:val="both"/>
      </w:pPr>
      <w:r>
        <w:t>An OJEU compliant tender process (whether directly procured by the Council or let under a compliant framework) will be required for delivery of the project.</w:t>
      </w:r>
    </w:p>
    <w:p w14:paraId="23E90EA2" w14:textId="06592AD7" w:rsidR="00AD6A3B" w:rsidRPr="001356F1" w:rsidRDefault="00AD6A3B" w:rsidP="00E657DF">
      <w:pPr>
        <w:pStyle w:val="ListParagraph"/>
        <w:ind w:right="226"/>
        <w:jc w:val="both"/>
      </w:pPr>
      <w:r w:rsidRPr="00AD6A3B">
        <w:t xml:space="preserve">A development appraisal is carried out </w:t>
      </w:r>
      <w:r w:rsidR="00955380">
        <w:t>using the</w:t>
      </w:r>
      <w:r w:rsidRPr="00AD6A3B">
        <w:t xml:space="preserve"> current value of the building plus spend</w:t>
      </w:r>
      <w:r w:rsidR="000F7BC0">
        <w:t>,</w:t>
      </w:r>
      <w:r w:rsidRPr="00AD6A3B">
        <w:t xml:space="preserve"> less completed value</w:t>
      </w:r>
      <w:r w:rsidR="000F7BC0">
        <w:t>,</w:t>
      </w:r>
      <w:r w:rsidRPr="00AD6A3B">
        <w:t xml:space="preserve"> to </w:t>
      </w:r>
      <w:r w:rsidR="00955380">
        <w:t>establish whether there is</w:t>
      </w:r>
      <w:r w:rsidRPr="00AD6A3B">
        <w:t xml:space="preserve"> a surplus or shortfall. </w:t>
      </w:r>
    </w:p>
    <w:p w14:paraId="3EE31CD7" w14:textId="77777777" w:rsidR="002329CF" w:rsidRPr="001356F1" w:rsidRDefault="002329CF" w:rsidP="00E657DF">
      <w:pPr>
        <w:pStyle w:val="Heading1"/>
        <w:ind w:right="226"/>
        <w:jc w:val="both"/>
      </w:pPr>
      <w:r w:rsidRPr="001356F1">
        <w:t>Level of risk</w:t>
      </w:r>
    </w:p>
    <w:p w14:paraId="29D64297" w14:textId="25CD33E1" w:rsidR="00BC69A4" w:rsidRDefault="00AD6A3B" w:rsidP="00E657DF">
      <w:pPr>
        <w:pStyle w:val="ListParagraph"/>
        <w:ind w:right="226"/>
        <w:jc w:val="both"/>
      </w:pPr>
      <w:r w:rsidRPr="00AD6A3B">
        <w:t xml:space="preserve">Refer to the attached Risk Register Appendix </w:t>
      </w:r>
      <w:r w:rsidR="00D952C3">
        <w:t>1</w:t>
      </w:r>
    </w:p>
    <w:p w14:paraId="1BC57692" w14:textId="77777777" w:rsidR="00C914BF" w:rsidRDefault="00AD6A3B" w:rsidP="00E657DF">
      <w:pPr>
        <w:pStyle w:val="ListParagraph"/>
        <w:ind w:right="226"/>
        <w:jc w:val="both"/>
      </w:pPr>
      <w:r w:rsidRPr="00AD6A3B">
        <w:t xml:space="preserve">Oxford City Council is required to enter into contractual Funding Agreements with Oxfordshire Local Enterprise Partnership for Local Growth Funding by the end of June or funding will be withdrawn. </w:t>
      </w:r>
    </w:p>
    <w:p w14:paraId="01627F1B" w14:textId="77777777" w:rsidR="00AD6A3B" w:rsidRDefault="00AD6A3B" w:rsidP="00E657DF">
      <w:pPr>
        <w:pStyle w:val="ListParagraph"/>
        <w:ind w:right="226"/>
        <w:jc w:val="both"/>
      </w:pPr>
      <w:r w:rsidRPr="00AD6A3B">
        <w:t>State Aid advice has been agreed.</w:t>
      </w:r>
    </w:p>
    <w:p w14:paraId="3AB2EDE6" w14:textId="77777777" w:rsidR="00AD6A3B" w:rsidRDefault="00AD6A3B" w:rsidP="00E657DF">
      <w:pPr>
        <w:pStyle w:val="ListParagraph"/>
        <w:ind w:right="226"/>
        <w:jc w:val="both"/>
      </w:pPr>
      <w:r w:rsidRPr="00AD6A3B">
        <w:t xml:space="preserve">Under the terms of the </w:t>
      </w:r>
      <w:proofErr w:type="spellStart"/>
      <w:r w:rsidRPr="00AD6A3B">
        <w:t>OxLEP</w:t>
      </w:r>
      <w:proofErr w:type="spellEnd"/>
      <w:r w:rsidRPr="00AD6A3B">
        <w:t xml:space="preserve"> Local Growth Funding agreement works must be completed by end March 2021. </w:t>
      </w:r>
      <w:r w:rsidR="00C914BF">
        <w:t xml:space="preserve">An outline programme has been prepared for </w:t>
      </w:r>
      <w:r w:rsidR="000F7BC0">
        <w:t>each project</w:t>
      </w:r>
      <w:r w:rsidR="00C914BF">
        <w:t xml:space="preserve"> </w:t>
      </w:r>
      <w:r w:rsidRPr="00AD6A3B">
        <w:t xml:space="preserve">showing that </w:t>
      </w:r>
      <w:r w:rsidR="000F7BC0">
        <w:t xml:space="preserve">both projects are </w:t>
      </w:r>
      <w:r w:rsidRPr="00AD6A3B">
        <w:t>deliverable</w:t>
      </w:r>
      <w:r w:rsidR="000F7BC0">
        <w:t xml:space="preserve"> in this timeframe</w:t>
      </w:r>
      <w:r w:rsidR="00C914BF">
        <w:t>. T</w:t>
      </w:r>
      <w:r w:rsidRPr="00AD6A3B">
        <w:t xml:space="preserve">he initial </w:t>
      </w:r>
      <w:r w:rsidR="007C14E1">
        <w:t>feasibility</w:t>
      </w:r>
      <w:r w:rsidR="007C14E1" w:rsidRPr="00AD6A3B">
        <w:t xml:space="preserve"> </w:t>
      </w:r>
      <w:r w:rsidRPr="00AD6A3B">
        <w:t xml:space="preserve">work </w:t>
      </w:r>
      <w:r w:rsidR="00C914BF">
        <w:t xml:space="preserve">at 1-3 George Street </w:t>
      </w:r>
      <w:r w:rsidRPr="00AD6A3B">
        <w:t xml:space="preserve">is </w:t>
      </w:r>
      <w:r w:rsidR="007C14E1">
        <w:t xml:space="preserve">already </w:t>
      </w:r>
      <w:r w:rsidR="006D70B2">
        <w:t>progressing</w:t>
      </w:r>
      <w:r w:rsidR="007C14E1">
        <w:t xml:space="preserve"> and </w:t>
      </w:r>
      <w:r w:rsidRPr="00AD6A3B">
        <w:t>on program</w:t>
      </w:r>
      <w:r>
        <w:t xml:space="preserve">me </w:t>
      </w:r>
      <w:r w:rsidR="00C914BF">
        <w:t xml:space="preserve">and consultant appointments for </w:t>
      </w:r>
      <w:proofErr w:type="spellStart"/>
      <w:r w:rsidR="00C914BF">
        <w:t>Standingford</w:t>
      </w:r>
      <w:proofErr w:type="spellEnd"/>
      <w:r w:rsidR="00C914BF">
        <w:t xml:space="preserve"> House, Cave Street are </w:t>
      </w:r>
      <w:r w:rsidR="007C14E1">
        <w:t xml:space="preserve">now </w:t>
      </w:r>
      <w:r w:rsidR="00C914BF">
        <w:t>underway.</w:t>
      </w:r>
    </w:p>
    <w:p w14:paraId="1A657BDF" w14:textId="47E3F4C4" w:rsidR="00954F26" w:rsidRDefault="00954F26" w:rsidP="00954F26">
      <w:pPr>
        <w:pStyle w:val="ListParagraph"/>
      </w:pPr>
      <w:r w:rsidRPr="00954F26">
        <w:t xml:space="preserve">If the business cases are rejected, we will not be able to </w:t>
      </w:r>
      <w:r w:rsidR="004250E7">
        <w:t xml:space="preserve">utilise the grant. </w:t>
      </w:r>
      <w:r w:rsidR="004F10E2">
        <w:t xml:space="preserve">Only </w:t>
      </w:r>
      <w:r w:rsidR="00A73B41">
        <w:t xml:space="preserve">the </w:t>
      </w:r>
      <w:r w:rsidR="004F10E2">
        <w:t>feasibility budget</w:t>
      </w:r>
      <w:r w:rsidR="00A73B41">
        <w:t>, already i</w:t>
      </w:r>
      <w:r w:rsidR="004250E7">
        <w:t>dentified,</w:t>
      </w:r>
      <w:r w:rsidR="00336539">
        <w:t xml:space="preserve"> would be committed ahead of this point</w:t>
      </w:r>
      <w:r w:rsidR="004F10E2">
        <w:t xml:space="preserve"> to minimise </w:t>
      </w:r>
      <w:r w:rsidR="00A73B41">
        <w:t xml:space="preserve">the council’s exposure to financial </w:t>
      </w:r>
      <w:r w:rsidR="004F10E2">
        <w:t>risk</w:t>
      </w:r>
      <w:r w:rsidR="00A73B41">
        <w:t>.</w:t>
      </w:r>
    </w:p>
    <w:p w14:paraId="7D5D6825" w14:textId="77777777" w:rsidR="002329CF" w:rsidRPr="001356F1" w:rsidRDefault="002329CF" w:rsidP="00E657DF">
      <w:pPr>
        <w:pStyle w:val="Heading1"/>
        <w:ind w:left="426" w:right="226" w:hanging="426"/>
        <w:jc w:val="both"/>
      </w:pPr>
      <w:r w:rsidRPr="001356F1">
        <w:t xml:space="preserve">Equalities impact </w:t>
      </w:r>
    </w:p>
    <w:p w14:paraId="037145B6" w14:textId="4C4BF3F0" w:rsidR="002329CF" w:rsidRPr="001356F1" w:rsidRDefault="00AD6A3B" w:rsidP="00E657DF">
      <w:pPr>
        <w:pStyle w:val="ListParagraph"/>
        <w:ind w:right="226"/>
        <w:jc w:val="both"/>
      </w:pPr>
      <w:r>
        <w:t xml:space="preserve">Refer to the </w:t>
      </w:r>
      <w:r w:rsidR="0093067A" w:rsidRPr="001356F1">
        <w:t>Equalities Impact Assessment</w:t>
      </w:r>
      <w:r w:rsidR="002329CF" w:rsidRPr="001356F1">
        <w:t xml:space="preserve"> </w:t>
      </w:r>
      <w:r>
        <w:t xml:space="preserve">Appendix </w:t>
      </w:r>
      <w:r w:rsidR="00D952C3">
        <w:t>2</w:t>
      </w:r>
      <w:r>
        <w:t>.</w:t>
      </w:r>
    </w:p>
    <w:p w14:paraId="2B8C0ABF" w14:textId="77777777" w:rsidR="00E87F7A" w:rsidRPr="001356F1" w:rsidRDefault="00E87F7A" w:rsidP="00E657DF">
      <w:pPr>
        <w:pStyle w:val="Heading1"/>
        <w:ind w:right="226"/>
        <w:jc w:val="both"/>
      </w:pPr>
      <w:r w:rsidRPr="001356F1">
        <w:t>Conclusion</w:t>
      </w:r>
    </w:p>
    <w:p w14:paraId="3684FAA2" w14:textId="77777777" w:rsidR="00E206D6" w:rsidRPr="001356F1" w:rsidRDefault="00EA2ABE" w:rsidP="00E657DF">
      <w:pPr>
        <w:pStyle w:val="ListParagraph"/>
        <w:ind w:right="226"/>
        <w:jc w:val="both"/>
      </w:pPr>
      <w:r>
        <w:t xml:space="preserve">The </w:t>
      </w:r>
      <w:proofErr w:type="spellStart"/>
      <w:r w:rsidR="00B46917">
        <w:t>OxLEP</w:t>
      </w:r>
      <w:proofErr w:type="spellEnd"/>
      <w:r w:rsidR="00B46917">
        <w:t xml:space="preserve"> Local Growth Funding</w:t>
      </w:r>
      <w:r w:rsidRPr="00EA2ABE">
        <w:t xml:space="preserve"> will </w:t>
      </w:r>
      <w:r w:rsidR="00B46917">
        <w:t>enable the Council to bring forward</w:t>
      </w:r>
      <w:r w:rsidRPr="00EA2ABE">
        <w:t xml:space="preserve"> affordable workspace </w:t>
      </w:r>
      <w:r>
        <w:t>to</w:t>
      </w:r>
      <w:r w:rsidRPr="00EA2ABE">
        <w:t xml:space="preserve"> </w:t>
      </w:r>
      <w:r w:rsidR="00B46917">
        <w:t>support</w:t>
      </w:r>
      <w:r w:rsidRPr="00EA2ABE">
        <w:t xml:space="preserve"> the inclusive economy agenda, removing barriers for certain entrepreneurs in less well funded sectors (creative, digital, social enterprise). Due to the </w:t>
      </w:r>
      <w:proofErr w:type="spellStart"/>
      <w:r w:rsidRPr="00EA2ABE">
        <w:t>OxLEP</w:t>
      </w:r>
      <w:proofErr w:type="spellEnd"/>
      <w:r w:rsidRPr="00EA2ABE">
        <w:t xml:space="preserve"> Local Growth Funding subsidy, this would allow a </w:t>
      </w:r>
      <w:r w:rsidR="00A140CD">
        <w:t>preferable</w:t>
      </w:r>
      <w:r w:rsidR="00A140CD" w:rsidRPr="00EA2ABE">
        <w:t xml:space="preserve"> </w:t>
      </w:r>
      <w:r w:rsidRPr="00EA2ABE">
        <w:t xml:space="preserve">financial </w:t>
      </w:r>
      <w:r w:rsidR="00A140CD">
        <w:t xml:space="preserve">and social </w:t>
      </w:r>
      <w:r w:rsidRPr="00EA2ABE">
        <w:t>outcome to a purely commercial option</w:t>
      </w:r>
      <w:r w:rsidR="007C14E1">
        <w:t xml:space="preserve"> and form a key part of the City Council’s economic recovery programme</w:t>
      </w:r>
      <w:r w:rsidRPr="00EA2ABE">
        <w:t>.</w:t>
      </w:r>
    </w:p>
    <w:p w14:paraId="268FEA00" w14:textId="77777777" w:rsidR="002329CF" w:rsidRDefault="002329CF" w:rsidP="00E657DF">
      <w:pPr>
        <w:ind w:hanging="568"/>
      </w:pPr>
    </w:p>
    <w:p w14:paraId="1656BA10" w14:textId="77777777" w:rsidR="00523FE1" w:rsidRDefault="00523FE1" w:rsidP="00E657DF">
      <w:pPr>
        <w:ind w:hanging="568"/>
      </w:pPr>
    </w:p>
    <w:p w14:paraId="182CBC86" w14:textId="77777777" w:rsidR="00523FE1" w:rsidRDefault="00523FE1" w:rsidP="00E657DF">
      <w:pPr>
        <w:ind w:hanging="568"/>
      </w:pPr>
    </w:p>
    <w:p w14:paraId="074929D0" w14:textId="77777777" w:rsidR="00523FE1" w:rsidRDefault="00523FE1" w:rsidP="00E657DF">
      <w:pPr>
        <w:ind w:hanging="568"/>
      </w:pPr>
    </w:p>
    <w:p w14:paraId="1CD5CED5" w14:textId="77777777" w:rsidR="00523FE1" w:rsidRDefault="00523FE1" w:rsidP="00E657DF">
      <w:pPr>
        <w:ind w:hanging="568"/>
      </w:pPr>
    </w:p>
    <w:p w14:paraId="516C72AE" w14:textId="77777777" w:rsidR="00523FE1" w:rsidRPr="001356F1" w:rsidRDefault="00523FE1" w:rsidP="00E657DF">
      <w:pPr>
        <w:ind w:hanging="568"/>
      </w:pP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1E5E99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A10D0F9"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22DCB87" w14:textId="77777777" w:rsidR="00E87F7A" w:rsidRPr="001356F1" w:rsidRDefault="00EA2ABE" w:rsidP="00A46E98">
            <w:r>
              <w:t xml:space="preserve">Andrew </w:t>
            </w:r>
            <w:proofErr w:type="spellStart"/>
            <w:r>
              <w:t>Humpherson</w:t>
            </w:r>
            <w:proofErr w:type="spellEnd"/>
            <w:r>
              <w:t xml:space="preserve"> – Regeneration Manager and Matt Peachey – Economic Development Manager</w:t>
            </w:r>
          </w:p>
        </w:tc>
      </w:tr>
      <w:tr w:rsidR="00DF093E" w:rsidRPr="001356F1" w14:paraId="333233B5" w14:textId="77777777" w:rsidTr="00A46E98">
        <w:trPr>
          <w:cantSplit/>
          <w:trHeight w:val="396"/>
        </w:trPr>
        <w:tc>
          <w:tcPr>
            <w:tcW w:w="3969" w:type="dxa"/>
            <w:tcBorders>
              <w:top w:val="nil"/>
              <w:left w:val="single" w:sz="8" w:space="0" w:color="000000"/>
              <w:bottom w:val="nil"/>
              <w:right w:val="nil"/>
            </w:tcBorders>
            <w:shd w:val="clear" w:color="auto" w:fill="auto"/>
          </w:tcPr>
          <w:p w14:paraId="4C3FF15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C1A977B" w14:textId="77777777" w:rsidR="00E87F7A" w:rsidRPr="001356F1" w:rsidRDefault="00EA2ABE" w:rsidP="00A46E98">
            <w:r>
              <w:t>Regeneration and Economy</w:t>
            </w:r>
          </w:p>
        </w:tc>
      </w:tr>
      <w:tr w:rsidR="00DF093E" w:rsidRPr="001356F1" w14:paraId="59BE4903" w14:textId="77777777" w:rsidTr="00A46E98">
        <w:trPr>
          <w:cantSplit/>
          <w:trHeight w:val="396"/>
        </w:trPr>
        <w:tc>
          <w:tcPr>
            <w:tcW w:w="3969" w:type="dxa"/>
            <w:tcBorders>
              <w:top w:val="nil"/>
              <w:left w:val="single" w:sz="8" w:space="0" w:color="000000"/>
              <w:bottom w:val="nil"/>
              <w:right w:val="nil"/>
            </w:tcBorders>
            <w:shd w:val="clear" w:color="auto" w:fill="auto"/>
          </w:tcPr>
          <w:p w14:paraId="27F6816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6CFB778" w14:textId="77777777" w:rsidR="00E87F7A" w:rsidRPr="001356F1" w:rsidRDefault="00E87F7A" w:rsidP="00EA2ABE">
            <w:r w:rsidRPr="001356F1">
              <w:t xml:space="preserve">01865 </w:t>
            </w:r>
            <w:r w:rsidR="00EA2ABE">
              <w:t xml:space="preserve">335702, </w:t>
            </w:r>
            <w:r w:rsidR="00EA2ABE" w:rsidRPr="00EA2ABE">
              <w:t>01865</w:t>
            </w:r>
            <w:r w:rsidR="00EA2ABE">
              <w:t xml:space="preserve"> 332021</w:t>
            </w:r>
            <w:r w:rsidRPr="001356F1">
              <w:t xml:space="preserve"> </w:t>
            </w:r>
          </w:p>
        </w:tc>
      </w:tr>
      <w:tr w:rsidR="005570B5" w:rsidRPr="001356F1" w14:paraId="1443188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403F0C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639B3D9" w14:textId="77777777" w:rsidR="00E87F7A" w:rsidRPr="00EA2ABE" w:rsidRDefault="00523FE1" w:rsidP="00A46E98">
            <w:pPr>
              <w:rPr>
                <w:rStyle w:val="Hyperlink"/>
                <w:color w:val="auto"/>
              </w:rPr>
            </w:pPr>
            <w:hyperlink r:id="rId11" w:history="1">
              <w:r w:rsidR="00EA2ABE" w:rsidRPr="00EA2ABE">
                <w:rPr>
                  <w:rStyle w:val="Hyperlink"/>
                  <w:color w:val="auto"/>
                </w:rPr>
                <w:t>ahumpherson@oxford.gov.uk</w:t>
              </w:r>
            </w:hyperlink>
          </w:p>
          <w:p w14:paraId="7EB581D7" w14:textId="77777777" w:rsidR="00EA2ABE" w:rsidRPr="00EA2ABE" w:rsidRDefault="00EA2ABE" w:rsidP="00A46E98">
            <w:pPr>
              <w:rPr>
                <w:rStyle w:val="Hyperlink"/>
                <w:color w:val="auto"/>
              </w:rPr>
            </w:pPr>
            <w:r w:rsidRPr="00EA2ABE">
              <w:rPr>
                <w:rStyle w:val="Hyperlink"/>
                <w:color w:val="auto"/>
              </w:rPr>
              <w:t>mpeachey@oxford.gov.uk</w:t>
            </w:r>
          </w:p>
        </w:tc>
      </w:tr>
    </w:tbl>
    <w:p w14:paraId="6D10E3F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29DAAC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C0623F1"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49188A1" w14:textId="77777777" w:rsidR="00CE4C87" w:rsidRDefault="00CE4C87" w:rsidP="0093067A"/>
    <w:sectPr w:rsidR="00CE4C87"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CB190" w14:textId="77777777" w:rsidR="0009501B" w:rsidRDefault="0009501B" w:rsidP="004A6D2F">
      <w:r>
        <w:separator/>
      </w:r>
    </w:p>
  </w:endnote>
  <w:endnote w:type="continuationSeparator" w:id="0">
    <w:p w14:paraId="2DBD2186" w14:textId="77777777" w:rsidR="0009501B" w:rsidRDefault="0009501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4967" w14:textId="77777777" w:rsidR="00364FAD" w:rsidRDefault="00364FAD" w:rsidP="004A6D2F">
    <w:pPr>
      <w:pStyle w:val="Footer"/>
    </w:pPr>
    <w:r>
      <w:t>Do not use a footer or page numbers.</w:t>
    </w:r>
  </w:p>
  <w:p w14:paraId="1044FD2A" w14:textId="77777777" w:rsidR="00364FAD" w:rsidRDefault="00364FAD" w:rsidP="004A6D2F">
    <w:pPr>
      <w:pStyle w:val="Footer"/>
    </w:pPr>
  </w:p>
  <w:p w14:paraId="41B0FAC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D30E"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756C" w14:textId="77777777" w:rsidR="0009501B" w:rsidRDefault="0009501B" w:rsidP="004A6D2F">
      <w:r>
        <w:separator/>
      </w:r>
    </w:p>
  </w:footnote>
  <w:footnote w:type="continuationSeparator" w:id="0">
    <w:p w14:paraId="531222BF" w14:textId="77777777" w:rsidR="0009501B" w:rsidRDefault="0009501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5BB5" w14:textId="77777777" w:rsidR="00D5547E" w:rsidRDefault="001638B5" w:rsidP="00D5547E">
    <w:pPr>
      <w:pStyle w:val="Header"/>
      <w:jc w:val="right"/>
    </w:pPr>
    <w:r>
      <w:rPr>
        <w:noProof/>
      </w:rPr>
      <w:drawing>
        <wp:inline distT="0" distB="0" distL="0" distR="0" wp14:anchorId="4F222671" wp14:editId="6C29A4D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65780"/>
    <w:multiLevelType w:val="hybridMultilevel"/>
    <w:tmpl w:val="3E72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1A"/>
    <w:rsid w:val="000117D4"/>
    <w:rsid w:val="000314D7"/>
    <w:rsid w:val="00032DA2"/>
    <w:rsid w:val="00034CB7"/>
    <w:rsid w:val="0004137D"/>
    <w:rsid w:val="00045F8B"/>
    <w:rsid w:val="00046D2B"/>
    <w:rsid w:val="000522D6"/>
    <w:rsid w:val="00056263"/>
    <w:rsid w:val="00057772"/>
    <w:rsid w:val="00064D8A"/>
    <w:rsid w:val="00064F82"/>
    <w:rsid w:val="00066510"/>
    <w:rsid w:val="00077523"/>
    <w:rsid w:val="0009374C"/>
    <w:rsid w:val="0009501B"/>
    <w:rsid w:val="000A1F44"/>
    <w:rsid w:val="000B247A"/>
    <w:rsid w:val="000B7F18"/>
    <w:rsid w:val="000C089F"/>
    <w:rsid w:val="000C3928"/>
    <w:rsid w:val="000C5E8E"/>
    <w:rsid w:val="000E6B9D"/>
    <w:rsid w:val="000F4751"/>
    <w:rsid w:val="000F5429"/>
    <w:rsid w:val="000F7BC0"/>
    <w:rsid w:val="0010524C"/>
    <w:rsid w:val="00110FA5"/>
    <w:rsid w:val="00111FB1"/>
    <w:rsid w:val="00113418"/>
    <w:rsid w:val="00130175"/>
    <w:rsid w:val="001356F1"/>
    <w:rsid w:val="00136994"/>
    <w:rsid w:val="0014128E"/>
    <w:rsid w:val="00142994"/>
    <w:rsid w:val="00151888"/>
    <w:rsid w:val="001638B5"/>
    <w:rsid w:val="00170A2D"/>
    <w:rsid w:val="001752AD"/>
    <w:rsid w:val="001808BC"/>
    <w:rsid w:val="00182B81"/>
    <w:rsid w:val="0018619D"/>
    <w:rsid w:val="001A011E"/>
    <w:rsid w:val="001A066A"/>
    <w:rsid w:val="001A13E6"/>
    <w:rsid w:val="001A5731"/>
    <w:rsid w:val="001B08EB"/>
    <w:rsid w:val="001B42C3"/>
    <w:rsid w:val="001C0538"/>
    <w:rsid w:val="001C1E24"/>
    <w:rsid w:val="001C5D5E"/>
    <w:rsid w:val="001C7655"/>
    <w:rsid w:val="001D1D78"/>
    <w:rsid w:val="001D678D"/>
    <w:rsid w:val="001E03F8"/>
    <w:rsid w:val="001E14D7"/>
    <w:rsid w:val="001E1678"/>
    <w:rsid w:val="001E3376"/>
    <w:rsid w:val="001F2466"/>
    <w:rsid w:val="002069B3"/>
    <w:rsid w:val="00207471"/>
    <w:rsid w:val="002329CF"/>
    <w:rsid w:val="00232F5B"/>
    <w:rsid w:val="0024195D"/>
    <w:rsid w:val="00247C29"/>
    <w:rsid w:val="00260467"/>
    <w:rsid w:val="002633FB"/>
    <w:rsid w:val="00263EA3"/>
    <w:rsid w:val="00265301"/>
    <w:rsid w:val="002717C6"/>
    <w:rsid w:val="00284F85"/>
    <w:rsid w:val="00286AC8"/>
    <w:rsid w:val="00290915"/>
    <w:rsid w:val="00292FF4"/>
    <w:rsid w:val="002A22E2"/>
    <w:rsid w:val="002C64F7"/>
    <w:rsid w:val="002D2AEF"/>
    <w:rsid w:val="002F41F2"/>
    <w:rsid w:val="00301BF3"/>
    <w:rsid w:val="0030208D"/>
    <w:rsid w:val="00305188"/>
    <w:rsid w:val="00320744"/>
    <w:rsid w:val="00323418"/>
    <w:rsid w:val="00323ECA"/>
    <w:rsid w:val="003357BF"/>
    <w:rsid w:val="00336539"/>
    <w:rsid w:val="00341C75"/>
    <w:rsid w:val="003648AD"/>
    <w:rsid w:val="00364FAD"/>
    <w:rsid w:val="0036738F"/>
    <w:rsid w:val="0036759C"/>
    <w:rsid w:val="00367AE5"/>
    <w:rsid w:val="00367D71"/>
    <w:rsid w:val="0037187C"/>
    <w:rsid w:val="0038150A"/>
    <w:rsid w:val="003A3CA1"/>
    <w:rsid w:val="003B6E75"/>
    <w:rsid w:val="003B7DA1"/>
    <w:rsid w:val="003D0379"/>
    <w:rsid w:val="003D078E"/>
    <w:rsid w:val="003D2574"/>
    <w:rsid w:val="003D4C59"/>
    <w:rsid w:val="003F4267"/>
    <w:rsid w:val="00404032"/>
    <w:rsid w:val="0040736F"/>
    <w:rsid w:val="00412C1F"/>
    <w:rsid w:val="00421CB2"/>
    <w:rsid w:val="00423290"/>
    <w:rsid w:val="004250E7"/>
    <w:rsid w:val="004268B9"/>
    <w:rsid w:val="00433B96"/>
    <w:rsid w:val="004376AC"/>
    <w:rsid w:val="00442B1A"/>
    <w:rsid w:val="004440F1"/>
    <w:rsid w:val="004456DD"/>
    <w:rsid w:val="00446CDF"/>
    <w:rsid w:val="004521B7"/>
    <w:rsid w:val="00462AB5"/>
    <w:rsid w:val="00465EAF"/>
    <w:rsid w:val="004738C5"/>
    <w:rsid w:val="00484900"/>
    <w:rsid w:val="00491046"/>
    <w:rsid w:val="004A2943"/>
    <w:rsid w:val="004A2AC7"/>
    <w:rsid w:val="004A4139"/>
    <w:rsid w:val="004A6D2F"/>
    <w:rsid w:val="004B524B"/>
    <w:rsid w:val="004C2887"/>
    <w:rsid w:val="004D2626"/>
    <w:rsid w:val="004D2E40"/>
    <w:rsid w:val="004D6E26"/>
    <w:rsid w:val="004D77D3"/>
    <w:rsid w:val="004E2959"/>
    <w:rsid w:val="004E48A7"/>
    <w:rsid w:val="004F0275"/>
    <w:rsid w:val="004F10E2"/>
    <w:rsid w:val="004F20EF"/>
    <w:rsid w:val="004F21FA"/>
    <w:rsid w:val="0050321C"/>
    <w:rsid w:val="00523FE1"/>
    <w:rsid w:val="005368A2"/>
    <w:rsid w:val="0054712D"/>
    <w:rsid w:val="00547EF6"/>
    <w:rsid w:val="005570B5"/>
    <w:rsid w:val="00567E18"/>
    <w:rsid w:val="00575F5F"/>
    <w:rsid w:val="00581805"/>
    <w:rsid w:val="00585F76"/>
    <w:rsid w:val="005A08FD"/>
    <w:rsid w:val="005A34E4"/>
    <w:rsid w:val="005A36E8"/>
    <w:rsid w:val="005B0861"/>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65E3"/>
    <w:rsid w:val="00692627"/>
    <w:rsid w:val="006969E7"/>
    <w:rsid w:val="006A3643"/>
    <w:rsid w:val="006A4A39"/>
    <w:rsid w:val="006B1E6B"/>
    <w:rsid w:val="006C2A29"/>
    <w:rsid w:val="006C51CC"/>
    <w:rsid w:val="006C64CF"/>
    <w:rsid w:val="006D17B1"/>
    <w:rsid w:val="006D4752"/>
    <w:rsid w:val="006D708A"/>
    <w:rsid w:val="006D70B2"/>
    <w:rsid w:val="006E14C1"/>
    <w:rsid w:val="006E3E68"/>
    <w:rsid w:val="006F0292"/>
    <w:rsid w:val="006F27FA"/>
    <w:rsid w:val="006F416B"/>
    <w:rsid w:val="006F519B"/>
    <w:rsid w:val="00713675"/>
    <w:rsid w:val="00715823"/>
    <w:rsid w:val="00724479"/>
    <w:rsid w:val="00737B93"/>
    <w:rsid w:val="0074521E"/>
    <w:rsid w:val="00745BF0"/>
    <w:rsid w:val="007615FE"/>
    <w:rsid w:val="0076655C"/>
    <w:rsid w:val="007742DC"/>
    <w:rsid w:val="0078075E"/>
    <w:rsid w:val="00791437"/>
    <w:rsid w:val="007B0C2C"/>
    <w:rsid w:val="007B278E"/>
    <w:rsid w:val="007C14E1"/>
    <w:rsid w:val="007C5C23"/>
    <w:rsid w:val="007E2A26"/>
    <w:rsid w:val="007F09EC"/>
    <w:rsid w:val="007F2348"/>
    <w:rsid w:val="00803F07"/>
    <w:rsid w:val="00805945"/>
    <w:rsid w:val="0080749A"/>
    <w:rsid w:val="00812CF6"/>
    <w:rsid w:val="00821FB8"/>
    <w:rsid w:val="00822ACD"/>
    <w:rsid w:val="00854E32"/>
    <w:rsid w:val="00855C66"/>
    <w:rsid w:val="00871EE4"/>
    <w:rsid w:val="008B293F"/>
    <w:rsid w:val="008B7371"/>
    <w:rsid w:val="008C1E7F"/>
    <w:rsid w:val="008D3DDB"/>
    <w:rsid w:val="008E4F5A"/>
    <w:rsid w:val="008E5B84"/>
    <w:rsid w:val="008F573F"/>
    <w:rsid w:val="009034EC"/>
    <w:rsid w:val="0093067A"/>
    <w:rsid w:val="00941C60"/>
    <w:rsid w:val="00941FD1"/>
    <w:rsid w:val="009515C4"/>
    <w:rsid w:val="00954F26"/>
    <w:rsid w:val="00955380"/>
    <w:rsid w:val="00966D42"/>
    <w:rsid w:val="00971689"/>
    <w:rsid w:val="00973E90"/>
    <w:rsid w:val="00975B07"/>
    <w:rsid w:val="00980B4A"/>
    <w:rsid w:val="009837DF"/>
    <w:rsid w:val="009A6D6C"/>
    <w:rsid w:val="009E3D0A"/>
    <w:rsid w:val="009E51FC"/>
    <w:rsid w:val="009F1D28"/>
    <w:rsid w:val="009F7618"/>
    <w:rsid w:val="00A04D23"/>
    <w:rsid w:val="00A06766"/>
    <w:rsid w:val="00A11C1F"/>
    <w:rsid w:val="00A13765"/>
    <w:rsid w:val="00A140CD"/>
    <w:rsid w:val="00A21B12"/>
    <w:rsid w:val="00A23F80"/>
    <w:rsid w:val="00A30C5D"/>
    <w:rsid w:val="00A46E98"/>
    <w:rsid w:val="00A6352B"/>
    <w:rsid w:val="00A701B5"/>
    <w:rsid w:val="00A714BB"/>
    <w:rsid w:val="00A73B41"/>
    <w:rsid w:val="00A74C81"/>
    <w:rsid w:val="00A77147"/>
    <w:rsid w:val="00A92D8F"/>
    <w:rsid w:val="00AB2988"/>
    <w:rsid w:val="00AB7999"/>
    <w:rsid w:val="00AD3292"/>
    <w:rsid w:val="00AD6A3B"/>
    <w:rsid w:val="00AE7AF0"/>
    <w:rsid w:val="00B1407A"/>
    <w:rsid w:val="00B37B47"/>
    <w:rsid w:val="00B46917"/>
    <w:rsid w:val="00B500CA"/>
    <w:rsid w:val="00B514B3"/>
    <w:rsid w:val="00B53100"/>
    <w:rsid w:val="00B63DC9"/>
    <w:rsid w:val="00B65B4A"/>
    <w:rsid w:val="00B811F9"/>
    <w:rsid w:val="00B86314"/>
    <w:rsid w:val="00B86AC2"/>
    <w:rsid w:val="00B94A20"/>
    <w:rsid w:val="00BA1C2E"/>
    <w:rsid w:val="00BC200B"/>
    <w:rsid w:val="00BC4756"/>
    <w:rsid w:val="00BC667D"/>
    <w:rsid w:val="00BC69A4"/>
    <w:rsid w:val="00BE0680"/>
    <w:rsid w:val="00BE305F"/>
    <w:rsid w:val="00BE7BA3"/>
    <w:rsid w:val="00BF2EBF"/>
    <w:rsid w:val="00BF5682"/>
    <w:rsid w:val="00BF7B09"/>
    <w:rsid w:val="00C20A95"/>
    <w:rsid w:val="00C25412"/>
    <w:rsid w:val="00C2692F"/>
    <w:rsid w:val="00C3207C"/>
    <w:rsid w:val="00C400E1"/>
    <w:rsid w:val="00C41187"/>
    <w:rsid w:val="00C518AB"/>
    <w:rsid w:val="00C5796E"/>
    <w:rsid w:val="00C63C31"/>
    <w:rsid w:val="00C7219D"/>
    <w:rsid w:val="00C757A0"/>
    <w:rsid w:val="00C760DE"/>
    <w:rsid w:val="00C82630"/>
    <w:rsid w:val="00C84F3A"/>
    <w:rsid w:val="00C85B4E"/>
    <w:rsid w:val="00C907F7"/>
    <w:rsid w:val="00C914BF"/>
    <w:rsid w:val="00CA2103"/>
    <w:rsid w:val="00CB6B99"/>
    <w:rsid w:val="00CE208F"/>
    <w:rsid w:val="00CE2C77"/>
    <w:rsid w:val="00CE4C87"/>
    <w:rsid w:val="00CE544A"/>
    <w:rsid w:val="00D102BD"/>
    <w:rsid w:val="00D11E1C"/>
    <w:rsid w:val="00D160B0"/>
    <w:rsid w:val="00D17F94"/>
    <w:rsid w:val="00D223FC"/>
    <w:rsid w:val="00D26D1E"/>
    <w:rsid w:val="00D474CF"/>
    <w:rsid w:val="00D5547E"/>
    <w:rsid w:val="00D860E2"/>
    <w:rsid w:val="00D869A1"/>
    <w:rsid w:val="00D93B71"/>
    <w:rsid w:val="00D94025"/>
    <w:rsid w:val="00D952C3"/>
    <w:rsid w:val="00DA413F"/>
    <w:rsid w:val="00DA4584"/>
    <w:rsid w:val="00DA614B"/>
    <w:rsid w:val="00DB7AD7"/>
    <w:rsid w:val="00DC3060"/>
    <w:rsid w:val="00DD2DAC"/>
    <w:rsid w:val="00DE0FB2"/>
    <w:rsid w:val="00DF093E"/>
    <w:rsid w:val="00DF54DF"/>
    <w:rsid w:val="00DF6945"/>
    <w:rsid w:val="00E01F42"/>
    <w:rsid w:val="00E206D6"/>
    <w:rsid w:val="00E3366E"/>
    <w:rsid w:val="00E4428C"/>
    <w:rsid w:val="00E52086"/>
    <w:rsid w:val="00E543A6"/>
    <w:rsid w:val="00E571E9"/>
    <w:rsid w:val="00E60479"/>
    <w:rsid w:val="00E61D73"/>
    <w:rsid w:val="00E657DF"/>
    <w:rsid w:val="00E66D2D"/>
    <w:rsid w:val="00E73684"/>
    <w:rsid w:val="00E76B6C"/>
    <w:rsid w:val="00E818D6"/>
    <w:rsid w:val="00E87F7A"/>
    <w:rsid w:val="00E94B3E"/>
    <w:rsid w:val="00E96BD7"/>
    <w:rsid w:val="00EA0DB1"/>
    <w:rsid w:val="00EA0EE9"/>
    <w:rsid w:val="00EA28D0"/>
    <w:rsid w:val="00EA2ABE"/>
    <w:rsid w:val="00EB37E5"/>
    <w:rsid w:val="00EC7C9E"/>
    <w:rsid w:val="00ED3534"/>
    <w:rsid w:val="00ED52CA"/>
    <w:rsid w:val="00ED5860"/>
    <w:rsid w:val="00EE25BA"/>
    <w:rsid w:val="00EE35C9"/>
    <w:rsid w:val="00F05ECA"/>
    <w:rsid w:val="00F178F4"/>
    <w:rsid w:val="00F3566E"/>
    <w:rsid w:val="00F375FB"/>
    <w:rsid w:val="00F37EE6"/>
    <w:rsid w:val="00F41AC1"/>
    <w:rsid w:val="00F4367A"/>
    <w:rsid w:val="00F445B1"/>
    <w:rsid w:val="00F45CD4"/>
    <w:rsid w:val="00F66DCA"/>
    <w:rsid w:val="00F74F53"/>
    <w:rsid w:val="00F7606D"/>
    <w:rsid w:val="00F81670"/>
    <w:rsid w:val="00F82024"/>
    <w:rsid w:val="00F95BC9"/>
    <w:rsid w:val="00FA624C"/>
    <w:rsid w:val="00FA6FD0"/>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99C1ED"/>
  <w15:docId w15:val="{7191D679-CCA1-4CAE-9487-FC782298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96890655">
      <w:bodyDiv w:val="1"/>
      <w:marLeft w:val="0"/>
      <w:marRight w:val="0"/>
      <w:marTop w:val="0"/>
      <w:marBottom w:val="0"/>
      <w:divBdr>
        <w:top w:val="none" w:sz="0" w:space="0" w:color="auto"/>
        <w:left w:val="none" w:sz="0" w:space="0" w:color="auto"/>
        <w:bottom w:val="none" w:sz="0" w:space="0" w:color="auto"/>
        <w:right w:val="none" w:sz="0" w:space="0" w:color="auto"/>
      </w:divBdr>
    </w:div>
    <w:div w:id="21158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umpherson@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fdb8f1d2-729e-4e17-b922-d1876d49c6d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A799DD0-610D-4CF0-B9D9-1463B579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A5E68F8E</Template>
  <TotalTime>17</TotalTime>
  <Pages>6</Pages>
  <Words>2157</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ahumpherson</dc:creator>
  <cp:lastModifiedBy>MITCHELL John</cp:lastModifiedBy>
  <cp:revision>7</cp:revision>
  <cp:lastPrinted>2015-07-03T12:50:00Z</cp:lastPrinted>
  <dcterms:created xsi:type="dcterms:W3CDTF">2020-06-19T13:25:00Z</dcterms:created>
  <dcterms:modified xsi:type="dcterms:W3CDTF">2020-06-26T16:00:00Z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